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09E4" w:rsidRDefault="006809E4" w:rsidP="006809E4">
      <w:pPr>
        <w:jc w:val="center"/>
      </w:pPr>
      <w:r>
        <w:fldChar w:fldCharType="begin">
          <w:ffData>
            <w:name w:val=""/>
            <w:enabled/>
            <w:calcOnExit w:val="0"/>
            <w:statusText w:type="text" w:val="Dokumento data: MMMM mm 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09E4" w:rsidRDefault="006809E4" w:rsidP="006809E4">
      <w:pPr>
        <w:jc w:val="center"/>
      </w:pPr>
    </w:p>
    <w:p w:rsidR="006809E4" w:rsidRDefault="006809E4" w:rsidP="006809E4">
      <w:pPr>
        <w:jc w:val="center"/>
      </w:pPr>
      <w:r>
        <w:rPr>
          <w:noProof/>
        </w:rPr>
        <w:drawing>
          <wp:inline distT="0" distB="0" distL="0" distR="0" wp14:anchorId="3A58F4AD" wp14:editId="01AF7568">
            <wp:extent cx="595630" cy="62738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0" cy="627380"/>
                    </a:xfrm>
                    <a:prstGeom prst="rect">
                      <a:avLst/>
                    </a:prstGeom>
                    <a:noFill/>
                    <a:ln>
                      <a:noFill/>
                    </a:ln>
                  </pic:spPr>
                </pic:pic>
              </a:graphicData>
            </a:graphic>
          </wp:inline>
        </w:drawing>
      </w:r>
    </w:p>
    <w:p w:rsidR="006809E4" w:rsidRDefault="006809E4" w:rsidP="006809E4">
      <w:pPr>
        <w:jc w:val="center"/>
        <w:rPr>
          <w:b/>
        </w:rPr>
      </w:pPr>
      <w:r>
        <w:rPr>
          <w:b/>
        </w:rPr>
        <w:t>LIETUVOS RESPUBLIKOS FINANSŲ MINISTERIJA</w:t>
      </w:r>
    </w:p>
    <w:p w:rsidR="006809E4" w:rsidRDefault="006809E4" w:rsidP="006809E4">
      <w:pPr>
        <w:jc w:val="center"/>
      </w:pPr>
    </w:p>
    <w:p w:rsidR="006809E4" w:rsidRDefault="006809E4" w:rsidP="006809E4">
      <w:pPr>
        <w:jc w:val="center"/>
      </w:pPr>
    </w:p>
    <w:p w:rsidR="006809E4" w:rsidRDefault="006809E4" w:rsidP="006809E4">
      <w:pPr>
        <w:jc w:val="center"/>
      </w:pPr>
    </w:p>
    <w:p w:rsidR="006809E4" w:rsidRDefault="006809E4" w:rsidP="006809E4">
      <w:pPr>
        <w:jc w:val="center"/>
        <w:sectPr w:rsidR="006809E4" w:rsidSect="006809E4">
          <w:headerReference w:type="even" r:id="rId8"/>
          <w:headerReference w:type="default" r:id="rId9"/>
          <w:footerReference w:type="default" r:id="rId10"/>
          <w:headerReference w:type="first" r:id="rId11"/>
          <w:footerReference w:type="first" r:id="rId12"/>
          <w:pgSz w:w="11906" w:h="16838" w:code="9"/>
          <w:pgMar w:top="567" w:right="567" w:bottom="992" w:left="1701" w:header="561" w:footer="567" w:gutter="0"/>
          <w:pgNumType w:start="1"/>
          <w:cols w:space="1296"/>
          <w:titlePg/>
        </w:sectPr>
      </w:pPr>
    </w:p>
    <w:tbl>
      <w:tblPr>
        <w:tblW w:w="9747" w:type="dxa"/>
        <w:tblLayout w:type="fixed"/>
        <w:tblLook w:val="0000" w:firstRow="0" w:lastRow="0" w:firstColumn="0" w:lastColumn="0" w:noHBand="0" w:noVBand="0"/>
      </w:tblPr>
      <w:tblGrid>
        <w:gridCol w:w="4927"/>
        <w:gridCol w:w="4820"/>
      </w:tblGrid>
      <w:tr w:rsidR="006809E4" w:rsidTr="009E039D">
        <w:tc>
          <w:tcPr>
            <w:tcW w:w="4927" w:type="dxa"/>
          </w:tcPr>
          <w:p w:rsidR="008B4244" w:rsidRDefault="00434190" w:rsidP="009E039D">
            <w:r>
              <w:t>Pagal gavėjų sąrašą</w:t>
            </w:r>
          </w:p>
          <w:p w:rsidR="00D05915" w:rsidRDefault="00D05915" w:rsidP="009E039D"/>
        </w:tc>
        <w:tc>
          <w:tcPr>
            <w:tcW w:w="4820" w:type="dxa"/>
          </w:tcPr>
          <w:p w:rsidR="006809E4" w:rsidRDefault="005F68D9" w:rsidP="00434190">
            <w:pPr>
              <w:ind w:firstLine="657"/>
            </w:pPr>
            <w:r w:rsidRPr="005F68D9">
              <w:t>2022-0</w:t>
            </w:r>
            <w:r w:rsidR="00434190">
              <w:t xml:space="preserve"> </w:t>
            </w:r>
            <w:r w:rsidRPr="005F68D9">
              <w:t>-     Nr.</w:t>
            </w:r>
          </w:p>
        </w:tc>
      </w:tr>
    </w:tbl>
    <w:p w:rsidR="00237575" w:rsidRDefault="00237575" w:rsidP="0021010A"/>
    <w:tbl>
      <w:tblPr>
        <w:tblW w:w="9747" w:type="dxa"/>
        <w:tblLayout w:type="fixed"/>
        <w:tblLook w:val="0000" w:firstRow="0" w:lastRow="0" w:firstColumn="0" w:lastColumn="0" w:noHBand="0" w:noVBand="0"/>
      </w:tblPr>
      <w:tblGrid>
        <w:gridCol w:w="8046"/>
        <w:gridCol w:w="1701"/>
      </w:tblGrid>
      <w:tr w:rsidR="00237575" w:rsidRPr="00B62CC5" w:rsidTr="00125D5C">
        <w:trPr>
          <w:cantSplit/>
          <w:trHeight w:val="629"/>
        </w:trPr>
        <w:tc>
          <w:tcPr>
            <w:tcW w:w="8046" w:type="dxa"/>
          </w:tcPr>
          <w:p w:rsidR="00237575" w:rsidRPr="00CD4E81" w:rsidRDefault="00237575" w:rsidP="00AB186F">
            <w:pPr>
              <w:rPr>
                <w:b/>
              </w:rPr>
            </w:pPr>
            <w:r>
              <w:rPr>
                <w:b/>
              </w:rPr>
              <w:t>DĖL EUROPOS KOMISIJOS PASIŪLYMŲ</w:t>
            </w:r>
          </w:p>
        </w:tc>
        <w:tc>
          <w:tcPr>
            <w:tcW w:w="1701" w:type="dxa"/>
          </w:tcPr>
          <w:p w:rsidR="00237575" w:rsidRPr="00B62CC5" w:rsidRDefault="00237575" w:rsidP="00AB186F">
            <w:pPr>
              <w:rPr>
                <w:b/>
              </w:rPr>
            </w:pPr>
          </w:p>
        </w:tc>
      </w:tr>
    </w:tbl>
    <w:p w:rsidR="00600D2C" w:rsidRDefault="00600D2C" w:rsidP="00125D5C">
      <w:pPr>
        <w:spacing w:line="228" w:lineRule="auto"/>
        <w:jc w:val="both"/>
      </w:pPr>
    </w:p>
    <w:p w:rsidR="00EA7D25" w:rsidRDefault="00EA7D25" w:rsidP="00EA7D25">
      <w:pPr>
        <w:ind w:firstLine="709"/>
        <w:jc w:val="both"/>
        <w:rPr>
          <w:szCs w:val="24"/>
        </w:rPr>
      </w:pPr>
      <w:r w:rsidRPr="00D159B0">
        <w:rPr>
          <w:szCs w:val="24"/>
        </w:rPr>
        <w:t xml:space="preserve">Pažymime, </w:t>
      </w:r>
      <w:r w:rsidRPr="007C5325">
        <w:rPr>
          <w:szCs w:val="24"/>
        </w:rPr>
        <w:t>2022 m. gruodžio 8 d. Europos Komisija</w:t>
      </w:r>
      <w:r>
        <w:rPr>
          <w:szCs w:val="24"/>
        </w:rPr>
        <w:t xml:space="preserve"> (toliau – EK)</w:t>
      </w:r>
      <w:r w:rsidRPr="007C5325">
        <w:rPr>
          <w:szCs w:val="24"/>
        </w:rPr>
        <w:t xml:space="preserve"> pateikė Europos Sąjungos teisės aktų pakeitimų pasiūlymus dėl eilės priemonių, kuriomis, panaudojant ir skatinant skaitmeninimą, siekiama modernizuoti E</w:t>
      </w:r>
      <w:r>
        <w:rPr>
          <w:szCs w:val="24"/>
        </w:rPr>
        <w:t xml:space="preserve">S </w:t>
      </w:r>
      <w:r w:rsidRPr="007C5325">
        <w:rPr>
          <w:szCs w:val="24"/>
        </w:rPr>
        <w:t>pridėtinės vertės mokesčio sistemą, kad ji būtų efektyvesnė ve</w:t>
      </w:r>
      <w:r>
        <w:rPr>
          <w:szCs w:val="24"/>
        </w:rPr>
        <w:t>rslui ir atsparesnė sukčiavimui. Pateikti pasiūlymai dėl:</w:t>
      </w:r>
    </w:p>
    <w:p w:rsidR="00EA7D25" w:rsidRDefault="00EA7D25" w:rsidP="00EA7D25">
      <w:pPr>
        <w:spacing w:line="228" w:lineRule="auto"/>
        <w:ind w:firstLine="709"/>
        <w:jc w:val="both"/>
      </w:pPr>
      <w:r>
        <w:t xml:space="preserve">- </w:t>
      </w:r>
      <w:r w:rsidRPr="00FA737E">
        <w:rPr>
          <w:szCs w:val="24"/>
        </w:rPr>
        <w:t>T</w:t>
      </w:r>
      <w:r>
        <w:rPr>
          <w:szCs w:val="24"/>
        </w:rPr>
        <w:t>ARYBOS DIREKTYVOS</w:t>
      </w:r>
      <w:r w:rsidRPr="00FA737E">
        <w:rPr>
          <w:szCs w:val="24"/>
        </w:rPr>
        <w:t>, iš dalies keičia</w:t>
      </w:r>
      <w:r>
        <w:rPr>
          <w:szCs w:val="24"/>
        </w:rPr>
        <w:t>nčios</w:t>
      </w:r>
      <w:r w:rsidRPr="00FA737E">
        <w:rPr>
          <w:szCs w:val="24"/>
        </w:rPr>
        <w:t xml:space="preserve"> Direktyv</w:t>
      </w:r>
      <w:r>
        <w:rPr>
          <w:szCs w:val="24"/>
        </w:rPr>
        <w:t>ą</w:t>
      </w:r>
      <w:r w:rsidRPr="00FA737E">
        <w:rPr>
          <w:szCs w:val="24"/>
        </w:rPr>
        <w:t xml:space="preserve"> 2006/112/EB </w:t>
      </w:r>
      <w:r>
        <w:rPr>
          <w:szCs w:val="24"/>
        </w:rPr>
        <w:t xml:space="preserve">dėl PVM taisyklių skaitmeniniame amžiuje </w:t>
      </w:r>
      <w:r>
        <w:t>(dok. COM(20</w:t>
      </w:r>
      <w:r>
        <w:rPr>
          <w:lang w:val="en-US"/>
        </w:rPr>
        <w:t>22</w:t>
      </w:r>
      <w:r w:rsidRPr="0036106B">
        <w:t xml:space="preserve">) </w:t>
      </w:r>
      <w:r>
        <w:t>701</w:t>
      </w:r>
      <w:r w:rsidRPr="0036106B">
        <w:t xml:space="preserve"> final</w:t>
      </w:r>
      <w:r>
        <w:t xml:space="preserve">);  </w:t>
      </w:r>
    </w:p>
    <w:p w:rsidR="00EA7D25" w:rsidRDefault="00EA7D25" w:rsidP="00EA7D25">
      <w:pPr>
        <w:spacing w:line="228" w:lineRule="auto"/>
        <w:ind w:firstLine="709"/>
        <w:jc w:val="both"/>
      </w:pPr>
      <w:r>
        <w:t xml:space="preserve">- TARYBOS ĮGYVENDINIMO REGLAMENTO, kuriuo iš dalies keičiamas Įgyvendinimo reglamentas (ES) Nr. 282/2011, </w:t>
      </w:r>
      <w:r w:rsidRPr="00881CCD">
        <w:t>dėl informacijos reikalavimų tam tikroms PVM s</w:t>
      </w:r>
      <w:r>
        <w:t>chemoms</w:t>
      </w:r>
      <w:r w:rsidRPr="00881CCD">
        <w:t xml:space="preserve"> </w:t>
      </w:r>
      <w:r>
        <w:t>(dok. COM(2022) 70</w:t>
      </w:r>
      <w:r>
        <w:rPr>
          <w:lang w:val="en-US"/>
        </w:rPr>
        <w:t>4</w:t>
      </w:r>
      <w:r>
        <w:t xml:space="preserve"> final);</w:t>
      </w:r>
    </w:p>
    <w:p w:rsidR="00EA7D25" w:rsidRDefault="00EA7D25" w:rsidP="00EA7D25">
      <w:pPr>
        <w:spacing w:line="228" w:lineRule="auto"/>
        <w:ind w:firstLine="709"/>
        <w:jc w:val="both"/>
      </w:pPr>
      <w:r>
        <w:t xml:space="preserve">- TARYBOS REGLAMENTO, kuriuo iš dalies keičiamas Reglamentas (ES) Nr. 904/2010, </w:t>
      </w:r>
      <w:r w:rsidRPr="00881CCD">
        <w:t xml:space="preserve">dėl PVM administracinio bendradarbiavimo susitarimų, reikalingų skaitmeniniame amžiuje </w:t>
      </w:r>
      <w:r>
        <w:t>(dok. COM(2022) 703 final</w:t>
      </w:r>
      <w:r w:rsidRPr="0095692D">
        <w:t>)</w:t>
      </w:r>
      <w:r>
        <w:t>.</w:t>
      </w:r>
    </w:p>
    <w:p w:rsidR="00EA7D25" w:rsidRDefault="00EA7D25" w:rsidP="00EA7D25">
      <w:pPr>
        <w:spacing w:line="228" w:lineRule="auto"/>
        <w:ind w:firstLine="709"/>
        <w:jc w:val="both"/>
      </w:pPr>
    </w:p>
    <w:p w:rsidR="00EA7D25" w:rsidRPr="00600D2C" w:rsidRDefault="00EA7D25" w:rsidP="00EA7D25">
      <w:pPr>
        <w:spacing w:line="228" w:lineRule="auto"/>
        <w:ind w:firstLine="709"/>
        <w:jc w:val="both"/>
      </w:pPr>
      <w:r>
        <w:t>Pagrindiniai pakeitimai</w:t>
      </w:r>
      <w:r w:rsidRPr="00600D2C">
        <w:t>:</w:t>
      </w:r>
    </w:p>
    <w:p w:rsidR="00EA7D25" w:rsidRPr="00600D2C" w:rsidRDefault="00EA7D25" w:rsidP="00EA7D25">
      <w:pPr>
        <w:pStyle w:val="ListParagraph"/>
        <w:numPr>
          <w:ilvl w:val="0"/>
          <w:numId w:val="12"/>
        </w:numPr>
        <w:spacing w:line="228" w:lineRule="auto"/>
        <w:jc w:val="both"/>
        <w:rPr>
          <w:b/>
        </w:rPr>
      </w:pPr>
      <w:r w:rsidRPr="00600D2C">
        <w:rPr>
          <w:b/>
        </w:rPr>
        <w:t>Perėjim</w:t>
      </w:r>
      <w:r>
        <w:rPr>
          <w:b/>
        </w:rPr>
        <w:t>as</w:t>
      </w:r>
      <w:r w:rsidRPr="00600D2C">
        <w:rPr>
          <w:b/>
        </w:rPr>
        <w:t xml:space="preserve"> prie skaitmeninių ataskaitų teikimo </w:t>
      </w:r>
      <w:r>
        <w:rPr>
          <w:b/>
        </w:rPr>
        <w:t>realiu</w:t>
      </w:r>
      <w:r w:rsidRPr="00600D2C">
        <w:rPr>
          <w:b/>
        </w:rPr>
        <w:t xml:space="preserve"> laiku, remiantis e. sąskaitomis faktūromis, skirt</w:t>
      </w:r>
      <w:r>
        <w:rPr>
          <w:b/>
        </w:rPr>
        <w:t>as</w:t>
      </w:r>
      <w:r w:rsidRPr="00600D2C">
        <w:rPr>
          <w:b/>
        </w:rPr>
        <w:t xml:space="preserve"> tarpvalstybinę veiklą vykdanči</w:t>
      </w:r>
      <w:r>
        <w:rPr>
          <w:b/>
        </w:rPr>
        <w:t>am</w:t>
      </w:r>
      <w:r w:rsidRPr="00600D2C">
        <w:rPr>
          <w:b/>
        </w:rPr>
        <w:t xml:space="preserve"> ES </w:t>
      </w:r>
      <w:r>
        <w:rPr>
          <w:b/>
        </w:rPr>
        <w:t>verslui</w:t>
      </w:r>
    </w:p>
    <w:p w:rsidR="00EA7D25" w:rsidRPr="00665209" w:rsidRDefault="00EA7D25" w:rsidP="00EA7D25">
      <w:pPr>
        <w:spacing w:line="228" w:lineRule="auto"/>
        <w:ind w:firstLine="709"/>
        <w:jc w:val="both"/>
        <w:rPr>
          <w:i/>
          <w:u w:val="single"/>
        </w:rPr>
      </w:pPr>
      <w:r w:rsidRPr="00665209">
        <w:rPr>
          <w:i/>
          <w:u w:val="single"/>
        </w:rPr>
        <w:t>Būtų nustatomas reikalavimas teikti skaitmeninius duomenis (angl. Digital repo</w:t>
      </w:r>
      <w:r w:rsidR="004534C3">
        <w:rPr>
          <w:i/>
          <w:u w:val="single"/>
        </w:rPr>
        <w:t>rting requirements, toliau -  DR</w:t>
      </w:r>
      <w:r w:rsidRPr="00665209">
        <w:rPr>
          <w:i/>
          <w:u w:val="single"/>
        </w:rPr>
        <w:t>R) apie sandorius tarp ES valstybių narių, kurio pagrindiniai elementai:</w:t>
      </w:r>
    </w:p>
    <w:p w:rsidR="00EA7D25" w:rsidRDefault="00EA7D25" w:rsidP="00EA7D25">
      <w:pPr>
        <w:spacing w:line="228" w:lineRule="auto"/>
        <w:ind w:firstLine="709"/>
        <w:jc w:val="both"/>
      </w:pPr>
      <w:r>
        <w:t xml:space="preserve">- </w:t>
      </w:r>
      <w:r w:rsidR="004534C3">
        <w:t>Siūloma, kad DR</w:t>
      </w:r>
      <w:r>
        <w:t>R įsigaliotų nuo</w:t>
      </w:r>
      <w:r w:rsidRPr="00DC3621">
        <w:t xml:space="preserve"> 2028 m.</w:t>
      </w:r>
      <w:r>
        <w:t xml:space="preserve"> sausio 1 d.</w:t>
      </w:r>
    </w:p>
    <w:p w:rsidR="00EA7D25" w:rsidRDefault="00EA7D25" w:rsidP="00EA7D25">
      <w:pPr>
        <w:spacing w:line="228" w:lineRule="auto"/>
        <w:ind w:firstLine="709"/>
        <w:jc w:val="both"/>
      </w:pPr>
      <w:r>
        <w:t>- Sandoriai, kuriuos reikės deklaruoti</w:t>
      </w:r>
      <w:r w:rsidRPr="00DC3621">
        <w:t xml:space="preserve">, </w:t>
      </w:r>
      <w:r>
        <w:t>turės būti įforminami</w:t>
      </w:r>
      <w:r w:rsidRPr="00DC3621">
        <w:t xml:space="preserve"> </w:t>
      </w:r>
      <w:r>
        <w:t xml:space="preserve">privalomai </w:t>
      </w:r>
      <w:r w:rsidRPr="00DC3621">
        <w:t>išraš</w:t>
      </w:r>
      <w:r>
        <w:t>ant e</w:t>
      </w:r>
      <w:r w:rsidRPr="00DC3621">
        <w:t>. sąskaitas faktūras.</w:t>
      </w:r>
      <w:r>
        <w:t xml:space="preserve"> </w:t>
      </w:r>
    </w:p>
    <w:p w:rsidR="00EA7D25" w:rsidRDefault="00EA7D25" w:rsidP="00EA7D25">
      <w:pPr>
        <w:spacing w:line="228" w:lineRule="auto"/>
        <w:ind w:firstLine="709"/>
        <w:jc w:val="both"/>
      </w:pPr>
      <w:r>
        <w:t>- Į kitas ES valstybes nares tiekiamos prekės nuo PVM bus atleidžiamos tik apie tokį</w:t>
      </w:r>
      <w:r w:rsidRPr="00DC3621">
        <w:t xml:space="preserve"> sandorį</w:t>
      </w:r>
      <w:r>
        <w:t xml:space="preserve"> pateikus duomenis (įvykdžius DDR reikalavimą)</w:t>
      </w:r>
      <w:r w:rsidRPr="00DC3621">
        <w:t xml:space="preserve">. </w:t>
      </w:r>
      <w:r>
        <w:t>Reikalavimai dėl duomenų, kuriuos reikės</w:t>
      </w:r>
      <w:r w:rsidRPr="00DC3621">
        <w:t xml:space="preserve"> pateikti, bus vienodi visose ES valstybėse narėse.</w:t>
      </w:r>
      <w:r>
        <w:t xml:space="preserve"> Kartu bus atsisakoma dabar nacionalinėms  mokesčių institucijoms teikiamų prekių teikimo ir paslaugų teikimo į kitas ES valstybes nares ataskaitų. Iš esmės teikiama informacija apims</w:t>
      </w:r>
      <w:r w:rsidRPr="00DC3621">
        <w:t xml:space="preserve"> tuos pačius sa</w:t>
      </w:r>
      <w:r>
        <w:t>ndorius ir mokesčių mokėtojus, tačiau  teikti duomenis turės ir</w:t>
      </w:r>
      <w:r w:rsidRPr="00DC3621">
        <w:t xml:space="preserve"> tiekėjas, ir pirkėjas</w:t>
      </w:r>
      <w:r>
        <w:t xml:space="preserve">, duomenys </w:t>
      </w:r>
      <w:r w:rsidRPr="00DC3621">
        <w:t xml:space="preserve"> </w:t>
      </w:r>
      <w:r>
        <w:t>turės būti pateikiami apie kiekvieną sandorį atskirai, taip pat papildomai turės būti nurodyti mokėjimo duomenys ir nuorodos</w:t>
      </w:r>
      <w:r w:rsidRPr="00DC3621">
        <w:t xml:space="preserve"> į </w:t>
      </w:r>
      <w:r>
        <w:t>tikslinamas</w:t>
      </w:r>
      <w:r w:rsidRPr="00DC3621">
        <w:t xml:space="preserve"> </w:t>
      </w:r>
      <w:r w:rsidR="00A825CE">
        <w:t>e. </w:t>
      </w:r>
      <w:r w:rsidRPr="00DC3621">
        <w:t>sąskaitas faktūras.</w:t>
      </w:r>
      <w:r>
        <w:t xml:space="preserve"> </w:t>
      </w:r>
      <w:r w:rsidR="00A825CE">
        <w:t xml:space="preserve">Duomenys </w:t>
      </w:r>
      <w:r>
        <w:t>turės</w:t>
      </w:r>
      <w:r w:rsidRPr="00DC3621">
        <w:t xml:space="preserve"> būti </w:t>
      </w:r>
      <w:r>
        <w:t>perduoti</w:t>
      </w:r>
      <w:r w:rsidRPr="00DC3621">
        <w:t xml:space="preserve"> per dvi dienas</w:t>
      </w:r>
      <w:r>
        <w:t xml:space="preserve"> nuo e. sąskaitos faktūros išrašymo</w:t>
      </w:r>
      <w:r w:rsidRPr="00DC3621">
        <w:t xml:space="preserve">, </w:t>
      </w:r>
      <w:r>
        <w:t xml:space="preserve">naudojant arba </w:t>
      </w:r>
      <w:r w:rsidR="00CA076D" w:rsidRPr="00CA076D">
        <w:t>Europos elektroninių sąskaitų faktūrų standartą, patvirtintą 2014 m. balandžio 16 d. Europos Parlamento ir Tarybos direktyva 2014/55/ES dėl elektroninių sąskaitų faktūrų naudojimo viešuosiuose pirkimuose</w:t>
      </w:r>
      <w:r w:rsidR="00CA076D">
        <w:t xml:space="preserve">, </w:t>
      </w:r>
      <w:r w:rsidRPr="00DC3621">
        <w:t>ar</w:t>
      </w:r>
      <w:r>
        <w:t>ba</w:t>
      </w:r>
      <w:r w:rsidRPr="00DC3621">
        <w:t xml:space="preserve"> kit</w:t>
      </w:r>
      <w:r>
        <w:t>ą</w:t>
      </w:r>
      <w:r w:rsidRPr="00DC3621">
        <w:t xml:space="preserve"> suderinam</w:t>
      </w:r>
      <w:r>
        <w:t>ą</w:t>
      </w:r>
      <w:r w:rsidRPr="00DC3621">
        <w:t xml:space="preserve"> f</w:t>
      </w:r>
      <w:r>
        <w:t xml:space="preserve">ormatą. </w:t>
      </w:r>
    </w:p>
    <w:p w:rsidR="00EA7D25" w:rsidRPr="00665209" w:rsidRDefault="00EA7D25" w:rsidP="00EA7D25">
      <w:pPr>
        <w:spacing w:line="228" w:lineRule="auto"/>
        <w:ind w:firstLine="709"/>
        <w:jc w:val="both"/>
        <w:rPr>
          <w:i/>
          <w:u w:val="single"/>
        </w:rPr>
      </w:pPr>
      <w:r w:rsidRPr="00665209">
        <w:rPr>
          <w:i/>
          <w:u w:val="single"/>
        </w:rPr>
        <w:t>Taip pat EK pasiūlymuose numatoma, kad ES valstybės narės galės pasirinkti taikyti DRR ir vidaus sandoriams. Pagrindiniai vidaus sandorių DDR elementai:</w:t>
      </w:r>
    </w:p>
    <w:p w:rsidR="00EA7D25" w:rsidRPr="00B0581A" w:rsidRDefault="00EA7D25" w:rsidP="00EA7D25">
      <w:pPr>
        <w:spacing w:line="228" w:lineRule="auto"/>
        <w:ind w:firstLine="709"/>
        <w:jc w:val="both"/>
      </w:pPr>
      <w:r>
        <w:t>- Siūloma, kad tokia galimybe ES valstybės narės galės pasinaudoti nuo</w:t>
      </w:r>
      <w:r w:rsidRPr="00DC3621">
        <w:t xml:space="preserve"> 2028 m.</w:t>
      </w:r>
      <w:r>
        <w:t xml:space="preserve"> sausio 1 d.</w:t>
      </w:r>
    </w:p>
    <w:p w:rsidR="00EA7D25" w:rsidRDefault="00EA7D25" w:rsidP="00EA7D25">
      <w:pPr>
        <w:spacing w:line="228" w:lineRule="auto"/>
        <w:ind w:firstLine="709"/>
        <w:jc w:val="both"/>
      </w:pPr>
      <w:r>
        <w:t>- Taikomi tie patys reikalavimai kaip ir ES mastu teikiamiems duomenims.</w:t>
      </w:r>
    </w:p>
    <w:p w:rsidR="00EA7D25" w:rsidRPr="00EA7D25" w:rsidRDefault="00A825CE" w:rsidP="00A825CE">
      <w:pPr>
        <w:tabs>
          <w:tab w:val="left" w:pos="1134"/>
          <w:tab w:val="left" w:pos="1276"/>
        </w:tabs>
        <w:spacing w:line="228" w:lineRule="auto"/>
        <w:ind w:firstLine="709"/>
        <w:jc w:val="both"/>
      </w:pPr>
      <w:r>
        <w:t xml:space="preserve">- </w:t>
      </w:r>
      <w:r w:rsidR="00EA7D25">
        <w:t>V</w:t>
      </w:r>
      <w:r w:rsidR="00EA7D25" w:rsidRPr="00EA7D25">
        <w:t>alstybės narės turės leisti išrašyti ir priimti e. sąskaitas faktūras</w:t>
      </w:r>
      <w:r w:rsidR="00EA7D25">
        <w:t xml:space="preserve"> pagal</w:t>
      </w:r>
      <w:r w:rsidR="00EA7D25" w:rsidRPr="00EA7D25">
        <w:t xml:space="preserve"> Europos elektroninių sąskaitų faktūrų standartą</w:t>
      </w:r>
      <w:r w:rsidR="00CA076D">
        <w:t>.</w:t>
      </w:r>
    </w:p>
    <w:p w:rsidR="00EA7D25" w:rsidRDefault="00EA7D25" w:rsidP="00EA7D25">
      <w:pPr>
        <w:spacing w:line="228" w:lineRule="auto"/>
        <w:ind w:firstLine="709"/>
        <w:jc w:val="both"/>
      </w:pPr>
      <w:r w:rsidRPr="00EA7D25">
        <w:lastRenderedPageBreak/>
        <w:t xml:space="preserve"> -</w:t>
      </w:r>
      <w:r>
        <w:t xml:space="preserve"> ES valstybės narės galės nuspręsti, kuriems sandoriams ir kuriems</w:t>
      </w:r>
      <w:r w:rsidRPr="008C024A">
        <w:t xml:space="preserve"> </w:t>
      </w:r>
      <w:r>
        <w:t>mokesčių mokėtojams bus taikomas vidaus DRR.</w:t>
      </w:r>
    </w:p>
    <w:p w:rsidR="00EA7D25" w:rsidRDefault="00EA7D25" w:rsidP="00EA7D25">
      <w:pPr>
        <w:spacing w:line="228" w:lineRule="auto"/>
        <w:ind w:firstLine="709"/>
        <w:jc w:val="both"/>
      </w:pPr>
      <w:r>
        <w:t>- Nebus galima nustatyti papildomų atskaitomybės įpareigojimų, išskyrus tuos, kuriuos leidžia PVM direktyva.</w:t>
      </w:r>
    </w:p>
    <w:p w:rsidR="00EA7D25" w:rsidRPr="00665209" w:rsidRDefault="00EA7D25" w:rsidP="00EA7D25">
      <w:pPr>
        <w:spacing w:line="228" w:lineRule="auto"/>
        <w:ind w:firstLine="709"/>
        <w:jc w:val="both"/>
        <w:rPr>
          <w:i/>
          <w:u w:val="single"/>
        </w:rPr>
      </w:pPr>
      <w:r>
        <w:rPr>
          <w:i/>
          <w:u w:val="single"/>
        </w:rPr>
        <w:t>K</w:t>
      </w:r>
      <w:r w:rsidRPr="00665209">
        <w:rPr>
          <w:i/>
          <w:u w:val="single"/>
        </w:rPr>
        <w:t>eisis reikalavimai</w:t>
      </w:r>
      <w:r>
        <w:rPr>
          <w:i/>
          <w:u w:val="single"/>
        </w:rPr>
        <w:t>, taikomi</w:t>
      </w:r>
      <w:r w:rsidRPr="00665209">
        <w:rPr>
          <w:i/>
          <w:u w:val="single"/>
        </w:rPr>
        <w:t xml:space="preserve"> e. sąskaitų faktūrų</w:t>
      </w:r>
      <w:r>
        <w:rPr>
          <w:i/>
          <w:u w:val="single"/>
        </w:rPr>
        <w:t xml:space="preserve"> išrašymui</w:t>
      </w:r>
      <w:r w:rsidRPr="00665209">
        <w:rPr>
          <w:i/>
          <w:u w:val="single"/>
        </w:rPr>
        <w:t>:</w:t>
      </w:r>
    </w:p>
    <w:p w:rsidR="00EA7D25" w:rsidRDefault="00EA7D25" w:rsidP="00EA7D25">
      <w:pPr>
        <w:spacing w:line="228" w:lineRule="auto"/>
        <w:ind w:firstLine="709"/>
        <w:jc w:val="both"/>
      </w:pPr>
      <w:r w:rsidRPr="00EA7D25">
        <w:t xml:space="preserve">• Nuo </w:t>
      </w:r>
      <w:r w:rsidRPr="00EA7D25">
        <w:rPr>
          <w:lang w:val="en-US"/>
        </w:rPr>
        <w:t>2024 m. sausio 1 d.</w:t>
      </w:r>
      <w:r w:rsidRPr="00EA7D25">
        <w:t>:</w:t>
      </w:r>
    </w:p>
    <w:p w:rsidR="00EA7D25" w:rsidRDefault="00EA7D25" w:rsidP="00EA7D25">
      <w:pPr>
        <w:spacing w:line="228" w:lineRule="auto"/>
        <w:ind w:firstLine="709"/>
        <w:jc w:val="both"/>
      </w:pPr>
      <w:r>
        <w:t xml:space="preserve">- </w:t>
      </w:r>
      <w:r w:rsidR="0097304E">
        <w:t>Nustatoma, kad e. sąskaita</w:t>
      </w:r>
      <w:r w:rsidR="0097304E" w:rsidRPr="0097304E">
        <w:t xml:space="preserve"> – tai sąskaita faktūra, kurioje pateikiama pagal </w:t>
      </w:r>
      <w:r w:rsidR="0097304E">
        <w:t>PVM direktyvą</w:t>
      </w:r>
      <w:r w:rsidR="0097304E" w:rsidRPr="0097304E">
        <w:t xml:space="preserve"> reikalaujama informacija ir kuri buvo išrašyta, perduota ir gauta struktūrizuotu elektroniniu formatu, leidžiančiu ją apdoroti automatiškai ir elektroniniu būdu.</w:t>
      </w:r>
    </w:p>
    <w:p w:rsidR="00EA7D25" w:rsidRDefault="00EA7D25" w:rsidP="00EA7D25">
      <w:pPr>
        <w:spacing w:line="228" w:lineRule="auto"/>
        <w:ind w:firstLine="709"/>
        <w:jc w:val="both"/>
      </w:pPr>
      <w:r>
        <w:t xml:space="preserve">- Valstybės narės </w:t>
      </w:r>
      <w:r w:rsidRPr="00EA7D25">
        <w:t>galės nustatyti privalomą</w:t>
      </w:r>
      <w:r>
        <w:t xml:space="preserve"> e. sąskaitų faktūrų išrašymą.</w:t>
      </w:r>
    </w:p>
    <w:p w:rsidR="00EA7D25" w:rsidRDefault="00EA7D25" w:rsidP="00EA7D25">
      <w:pPr>
        <w:spacing w:line="228" w:lineRule="auto"/>
        <w:ind w:firstLine="709"/>
        <w:jc w:val="both"/>
      </w:pPr>
      <w:r>
        <w:t xml:space="preserve">- Pagal </w:t>
      </w:r>
      <w:r w:rsidRPr="00EA7D25">
        <w:t xml:space="preserve">Europos elektroninių sąskaitų faktūrų standartą </w:t>
      </w:r>
      <w:r>
        <w:t>išrašytos e. sąskaitos faktūros turės būti priimamos visose ES valstybėse narėse.</w:t>
      </w:r>
    </w:p>
    <w:p w:rsidR="00EA7D25" w:rsidRDefault="00EA7D25" w:rsidP="00EA7D25">
      <w:pPr>
        <w:spacing w:line="228" w:lineRule="auto"/>
        <w:ind w:firstLine="709"/>
        <w:jc w:val="both"/>
      </w:pPr>
      <w:r>
        <w:t xml:space="preserve">• Nuo </w:t>
      </w:r>
      <w:r w:rsidRPr="0097304E">
        <w:t>2028 m. sausio 1 d.</w:t>
      </w:r>
      <w:r>
        <w:t xml:space="preserve">  būtų taikomi šie pakeitimai:</w:t>
      </w:r>
    </w:p>
    <w:p w:rsidR="00EA7D25" w:rsidRDefault="00EA7D25" w:rsidP="00EA7D25">
      <w:pPr>
        <w:spacing w:line="228" w:lineRule="auto"/>
        <w:ind w:firstLine="709"/>
        <w:jc w:val="both"/>
      </w:pPr>
      <w:r>
        <w:t>- ES valstybės narės galės reikalauti privalomai išrašyti e. sąskaitas faktūras įforminant ir sandorius, dėl kurių nėra privaloma teikti duomenų DDR nustatyta tvarka.</w:t>
      </w:r>
    </w:p>
    <w:p w:rsidR="00EA7D25" w:rsidRDefault="00EA7D25" w:rsidP="00EA7D25">
      <w:pPr>
        <w:spacing w:line="228" w:lineRule="auto"/>
        <w:ind w:firstLine="709"/>
        <w:jc w:val="both"/>
      </w:pPr>
      <w:r>
        <w:t>- E. sąskaitose faktūrose, be kitų jau nustatytų privalomų duomenų, turės būti nurodyti mokėjimo duomenys ir, jei išrašomos patikslinančios sąskaitos faktūros, identifikuojamos tikslinamos sąskaitos faktūros.</w:t>
      </w:r>
    </w:p>
    <w:p w:rsidR="00EA7D25" w:rsidRDefault="00EA7D25" w:rsidP="00EA7D25">
      <w:pPr>
        <w:spacing w:line="228" w:lineRule="auto"/>
        <w:ind w:firstLine="709"/>
        <w:jc w:val="both"/>
      </w:pPr>
      <w:r w:rsidRPr="0097304E">
        <w:t xml:space="preserve">- </w:t>
      </w:r>
      <w:r w:rsidR="0097304E">
        <w:t xml:space="preserve">Pagal </w:t>
      </w:r>
      <w:r w:rsidR="0097304E" w:rsidRPr="00EA7D25">
        <w:t xml:space="preserve">Europos elektroninių sąskaitų faktūrų standartą </w:t>
      </w:r>
      <w:r w:rsidR="0097304E">
        <w:t>išrašytos e. sąskaitos faktūros ir toliau  turės būti priimamos visose ES valstybėse narėse.</w:t>
      </w:r>
    </w:p>
    <w:p w:rsidR="0097304E" w:rsidRPr="000F3B89" w:rsidRDefault="0097304E" w:rsidP="00EA7D25">
      <w:pPr>
        <w:spacing w:line="228" w:lineRule="auto"/>
        <w:ind w:firstLine="709"/>
        <w:jc w:val="both"/>
        <w:rPr>
          <w:color w:val="FF0000"/>
        </w:rPr>
      </w:pPr>
    </w:p>
    <w:p w:rsidR="00EA7D25" w:rsidRPr="00097CA6" w:rsidRDefault="00EA7D25" w:rsidP="00EA7D25">
      <w:pPr>
        <w:spacing w:line="228" w:lineRule="auto"/>
        <w:ind w:firstLine="709"/>
        <w:jc w:val="both"/>
        <w:rPr>
          <w:i/>
        </w:rPr>
      </w:pPr>
      <w:r w:rsidRPr="00097CA6">
        <w:rPr>
          <w:i/>
        </w:rPr>
        <w:t>EK nurodo, kad DRR suteiks valstybėms narėms vertingos ir reikalingos informacijos, kad jos galėtų aktyviau kovoti su sukčiavimu PVM, ypač su karuseliniu sukčiavimu. Perėjimas prie e. sąskaitų faktūrų išrašymo padės sumažinti sukčiavimą PVM - iki 11 mlrd. EUR per metus, o ES prekiautojų administracines ir reikalavimų laikymosi išlaidas per ateinančius dešimt metų kasmet mažins daugiau kaip 4,1 mlrd. EUR. Be to, bus užtikrinta esamų nacionalinių sistemų konvergencija visoje ES ir sudarytos sąlygos valstybėms narėms, kurios artimiausiu metu nori sukurti nacionalines vidaus prekybai skirtas skaitmenines ataskaitų teikimo sistemas.</w:t>
      </w:r>
    </w:p>
    <w:p w:rsidR="00EA7D25" w:rsidRDefault="00EA7D25" w:rsidP="00EA7D25">
      <w:pPr>
        <w:spacing w:line="228" w:lineRule="auto"/>
        <w:ind w:firstLine="709"/>
        <w:jc w:val="both"/>
      </w:pPr>
    </w:p>
    <w:p w:rsidR="00600D2C" w:rsidRPr="00365CE3" w:rsidRDefault="00600D2C" w:rsidP="009D593E">
      <w:pPr>
        <w:spacing w:line="228" w:lineRule="auto"/>
        <w:jc w:val="both"/>
        <w:rPr>
          <w:b/>
        </w:rPr>
      </w:pPr>
    </w:p>
    <w:p w:rsidR="007C5325" w:rsidRPr="00600D2C" w:rsidRDefault="007C5325" w:rsidP="00600D2C">
      <w:pPr>
        <w:pStyle w:val="ListParagraph"/>
        <w:numPr>
          <w:ilvl w:val="0"/>
          <w:numId w:val="12"/>
        </w:numPr>
        <w:spacing w:line="228" w:lineRule="auto"/>
        <w:jc w:val="both"/>
        <w:rPr>
          <w:b/>
        </w:rPr>
      </w:pPr>
      <w:r w:rsidRPr="00600D2C">
        <w:rPr>
          <w:b/>
        </w:rPr>
        <w:t>Keleivių vežimo ir trumpalaikio ap</w:t>
      </w:r>
      <w:r w:rsidR="00951A98">
        <w:rPr>
          <w:b/>
        </w:rPr>
        <w:t>gyvendinimo platformoms taikomo</w:t>
      </w:r>
      <w:r w:rsidR="00600D2C">
        <w:rPr>
          <w:b/>
        </w:rPr>
        <w:t>s</w:t>
      </w:r>
      <w:r w:rsidRPr="00600D2C">
        <w:rPr>
          <w:b/>
        </w:rPr>
        <w:t xml:space="preserve"> </w:t>
      </w:r>
      <w:r w:rsidR="00951A98">
        <w:rPr>
          <w:b/>
        </w:rPr>
        <w:t>atnaujinto</w:t>
      </w:r>
      <w:r w:rsidR="00600D2C">
        <w:rPr>
          <w:b/>
        </w:rPr>
        <w:t>s</w:t>
      </w:r>
      <w:r w:rsidR="00951A98">
        <w:rPr>
          <w:b/>
        </w:rPr>
        <w:t xml:space="preserve"> PVM taisyklė</w:t>
      </w:r>
      <w:r w:rsidRPr="00600D2C">
        <w:rPr>
          <w:b/>
        </w:rPr>
        <w:t>s</w:t>
      </w:r>
      <w:r w:rsidR="0099582A">
        <w:rPr>
          <w:b/>
        </w:rPr>
        <w:t xml:space="preserve"> </w:t>
      </w:r>
    </w:p>
    <w:p w:rsidR="00534F33" w:rsidRDefault="007C5325" w:rsidP="00534F33">
      <w:pPr>
        <w:spacing w:line="228" w:lineRule="auto"/>
        <w:ind w:firstLine="709"/>
        <w:jc w:val="both"/>
        <w:rPr>
          <w:u w:val="single"/>
        </w:rPr>
      </w:pPr>
      <w:r w:rsidRPr="00951A98">
        <w:rPr>
          <w:i/>
          <w:u w:val="single"/>
        </w:rPr>
        <w:t>Pagal naująsias taisykles šių sektorių platformų ekonominės veiklos vykdytojai taps atsakingi už PVM surinkimą ir pervedimą mokesčių administratoriams, kai to nedaro paslaugų teikėjai, nes jie yra, pavyzdžiui</w:t>
      </w:r>
      <w:r w:rsidR="00D949A9" w:rsidRPr="00951A98">
        <w:rPr>
          <w:i/>
          <w:u w:val="single"/>
        </w:rPr>
        <w:t xml:space="preserve"> smulkus verslas</w:t>
      </w:r>
      <w:r w:rsidRPr="00951A98">
        <w:rPr>
          <w:i/>
          <w:u w:val="single"/>
        </w:rPr>
        <w:t xml:space="preserve"> arba individualūs paslaugų teikėjai. </w:t>
      </w:r>
      <w:r w:rsidR="00534F33" w:rsidRPr="00951A98">
        <w:rPr>
          <w:i/>
          <w:u w:val="single"/>
        </w:rPr>
        <w:t>Pagrindiniai elementai</w:t>
      </w:r>
      <w:r w:rsidR="00534F33" w:rsidRPr="006F37DD">
        <w:rPr>
          <w:u w:val="single"/>
        </w:rPr>
        <w:t>:</w:t>
      </w:r>
    </w:p>
    <w:p w:rsidR="006F37DD" w:rsidRPr="006F37DD" w:rsidRDefault="006F37DD" w:rsidP="00534F33">
      <w:pPr>
        <w:spacing w:line="228" w:lineRule="auto"/>
        <w:ind w:firstLine="709"/>
        <w:jc w:val="both"/>
        <w:rPr>
          <w:lang w:val="en-US"/>
        </w:rPr>
      </w:pPr>
      <w:r>
        <w:t xml:space="preserve">- Įsigaliotų nuo  </w:t>
      </w:r>
      <w:r>
        <w:rPr>
          <w:lang w:val="en-US"/>
        </w:rPr>
        <w:t>2025 m.</w:t>
      </w:r>
      <w:r w:rsidR="0090466A">
        <w:rPr>
          <w:lang w:val="en-US"/>
        </w:rPr>
        <w:t xml:space="preserve"> sausio 1 d.</w:t>
      </w:r>
    </w:p>
    <w:p w:rsidR="00534F33" w:rsidRDefault="004236E6" w:rsidP="00534F33">
      <w:pPr>
        <w:spacing w:line="228" w:lineRule="auto"/>
        <w:ind w:firstLine="709"/>
        <w:jc w:val="both"/>
      </w:pPr>
      <w:r>
        <w:t>-</w:t>
      </w:r>
      <w:r w:rsidR="00A825CE">
        <w:t xml:space="preserve"> </w:t>
      </w:r>
      <w:r w:rsidR="00534F33">
        <w:t>Kai</w:t>
      </w:r>
      <w:r w:rsidR="00B0581A">
        <w:t>,</w:t>
      </w:r>
      <w:r w:rsidR="00534F33">
        <w:t xml:space="preserve"> pavyzdžiui, </w:t>
      </w:r>
      <w:r w:rsidR="00D949A9">
        <w:t>smulkus verslas</w:t>
      </w:r>
      <w:r w:rsidR="00534F33">
        <w:t xml:space="preserve"> arba fizinis asmuo (neskaičiuojantys PVM) teikia keleivių vežimo arba trumpalaikio apgyvendinimo paslaugą per platformą asmeniui</w:t>
      </w:r>
      <w:r w:rsidR="00CA076D">
        <w:t>,</w:t>
      </w:r>
      <w:r w:rsidR="00534F33">
        <w:t xml:space="preserve"> laikoma, kad platforma pati gavo ir suteikė tą paslaugą. Todėl yra du tiekimai: neapmokestinamas tiekimas platformai, kurį teikia pagrindinis tiekėjas, ir apmokestinamas tiekimas iš platformos klientui.</w:t>
      </w:r>
    </w:p>
    <w:p w:rsidR="004236E6" w:rsidRDefault="004236E6" w:rsidP="00534F33">
      <w:pPr>
        <w:spacing w:line="228" w:lineRule="auto"/>
        <w:ind w:firstLine="709"/>
        <w:jc w:val="both"/>
      </w:pPr>
      <w:r>
        <w:t>- Tapatus modelis jau egzistuojančiam e.</w:t>
      </w:r>
      <w:r w:rsidR="00904CE8">
        <w:t xml:space="preserve"> </w:t>
      </w:r>
      <w:r>
        <w:t>komercijos modeliui, kai prekės parduodamos per platformą.</w:t>
      </w:r>
    </w:p>
    <w:p w:rsidR="00020C2A" w:rsidRDefault="00020C2A" w:rsidP="00534F33">
      <w:pPr>
        <w:spacing w:line="228" w:lineRule="auto"/>
        <w:ind w:firstLine="709"/>
        <w:jc w:val="both"/>
      </w:pPr>
      <w:r>
        <w:t>- Nustatoma, kas laikoma trumpalaikiu apgyvendinimu</w:t>
      </w:r>
      <w:r w:rsidRPr="00020C2A">
        <w:t xml:space="preserve"> (nuolatinė būsto nuoma 45 dienoms ar trumpiau)</w:t>
      </w:r>
      <w:r>
        <w:t>.</w:t>
      </w:r>
    </w:p>
    <w:p w:rsidR="00020C2A" w:rsidRDefault="004236E6" w:rsidP="00020C2A">
      <w:pPr>
        <w:spacing w:line="228" w:lineRule="auto"/>
        <w:ind w:firstLine="709"/>
        <w:jc w:val="both"/>
      </w:pPr>
      <w:r>
        <w:t>-</w:t>
      </w:r>
      <w:r w:rsidR="00020C2A">
        <w:t xml:space="preserve">  Platformoms, kaip ir bet kuriam verslui, </w:t>
      </w:r>
      <w:r w:rsidR="00904CE8">
        <w:t xml:space="preserve">ir toliau </w:t>
      </w:r>
      <w:r w:rsidR="00020C2A">
        <w:t xml:space="preserve">leidžiama naudotis </w:t>
      </w:r>
      <w:r w:rsidR="00D949A9">
        <w:t>smu</w:t>
      </w:r>
      <w:r w:rsidR="00CA076D">
        <w:t>l</w:t>
      </w:r>
      <w:r w:rsidR="00D949A9">
        <w:t>kaus verslo</w:t>
      </w:r>
      <w:r w:rsidR="00020C2A">
        <w:t xml:space="preserve"> schema, jei jų apyvarta nesiekia registravimosi PVM mokėtojais ribos.</w:t>
      </w:r>
    </w:p>
    <w:p w:rsidR="00020C2A" w:rsidRDefault="00020C2A" w:rsidP="00020C2A">
      <w:pPr>
        <w:spacing w:line="228" w:lineRule="auto"/>
        <w:ind w:firstLine="709"/>
        <w:jc w:val="both"/>
      </w:pPr>
      <w:r>
        <w:t xml:space="preserve">- Jei platformos naudojasi </w:t>
      </w:r>
      <w:r w:rsidR="00D949A9">
        <w:t>smu</w:t>
      </w:r>
      <w:r w:rsidR="00CA076D">
        <w:t>l</w:t>
      </w:r>
      <w:r w:rsidR="00D949A9">
        <w:t>kaus verslo</w:t>
      </w:r>
      <w:r w:rsidR="006F37DD">
        <w:t xml:space="preserve"> </w:t>
      </w:r>
      <w:r>
        <w:t>schema, jos vi</w:t>
      </w:r>
      <w:r w:rsidR="006F37DD">
        <w:t xml:space="preserve">s tiek yra laikomos tiekėjais, </w:t>
      </w:r>
      <w:r>
        <w:t>tiesiog neskaičiuoja PVM už tiekimą.</w:t>
      </w:r>
    </w:p>
    <w:p w:rsidR="00020C2A" w:rsidRDefault="00020C2A" w:rsidP="00020C2A">
      <w:pPr>
        <w:spacing w:line="228" w:lineRule="auto"/>
        <w:ind w:firstLine="709"/>
        <w:jc w:val="both"/>
      </w:pPr>
      <w:r>
        <w:t>- Pagrindiniai tei</w:t>
      </w:r>
      <w:r w:rsidR="006F37DD">
        <w:t>kėjai (apgyvendinimo paslaugų t</w:t>
      </w:r>
      <w:r>
        <w:t>e</w:t>
      </w:r>
      <w:r w:rsidR="006F37DD">
        <w:t>i</w:t>
      </w:r>
      <w:r>
        <w:t xml:space="preserve">kėjai arba vežėjai) taip pat ir toliau galės naudotis </w:t>
      </w:r>
      <w:r w:rsidR="00D949A9">
        <w:t>smu</w:t>
      </w:r>
      <w:r w:rsidR="00CA076D">
        <w:t>l</w:t>
      </w:r>
      <w:r w:rsidR="00D949A9">
        <w:t>kaus verslo</w:t>
      </w:r>
      <w:r>
        <w:t xml:space="preserve"> schema, tačiau pardavimas per platformą bus apmokestinamas PVM, kurį surinks </w:t>
      </w:r>
      <w:r w:rsidR="00B0581A">
        <w:t>platforma</w:t>
      </w:r>
      <w:r>
        <w:t>.</w:t>
      </w:r>
    </w:p>
    <w:p w:rsidR="00D949A9" w:rsidRDefault="00D949A9" w:rsidP="00020C2A">
      <w:pPr>
        <w:spacing w:line="228" w:lineRule="auto"/>
        <w:ind w:firstLine="709"/>
        <w:jc w:val="both"/>
      </w:pPr>
    </w:p>
    <w:p w:rsidR="007C5325" w:rsidRPr="00D949A9" w:rsidRDefault="00B0581A" w:rsidP="006C198E">
      <w:pPr>
        <w:spacing w:line="228" w:lineRule="auto"/>
        <w:ind w:firstLine="709"/>
        <w:jc w:val="both"/>
        <w:rPr>
          <w:i/>
        </w:rPr>
      </w:pPr>
      <w:r w:rsidRPr="00D949A9">
        <w:rPr>
          <w:i/>
        </w:rPr>
        <w:t>EK nurodo, kad t</w:t>
      </w:r>
      <w:r w:rsidR="006C198E" w:rsidRPr="00D949A9">
        <w:rPr>
          <w:i/>
        </w:rPr>
        <w:t>aikant naujas taisykles,</w:t>
      </w:r>
      <w:r w:rsidR="007C5325" w:rsidRPr="00D949A9">
        <w:rPr>
          <w:i/>
        </w:rPr>
        <w:t xml:space="preserve"> bus užtikrintas vienodas visose valstybėse narėse taikomas metodas ir vienodesnės sąlygos internetinėms ir tradicinėms trumpalaikėms </w:t>
      </w:r>
      <w:r w:rsidR="007C5325" w:rsidRPr="00D949A9">
        <w:rPr>
          <w:i/>
        </w:rPr>
        <w:lastRenderedPageBreak/>
        <w:t>apgyvendinimo ir t</w:t>
      </w:r>
      <w:r w:rsidR="00161B0C">
        <w:rPr>
          <w:i/>
        </w:rPr>
        <w:t>ransporto paslaugoms. Be to, smulkiam verslui</w:t>
      </w:r>
      <w:r w:rsidR="007C5325" w:rsidRPr="00D949A9">
        <w:rPr>
          <w:i/>
        </w:rPr>
        <w:t xml:space="preserve"> nereikės suprasti visų valstybių narių, kuriose jos vykdo veiklą, PVM taisyklių ir jų laikytis.</w:t>
      </w:r>
    </w:p>
    <w:p w:rsidR="004B6AC6" w:rsidRDefault="004B6AC6" w:rsidP="007C5325">
      <w:pPr>
        <w:spacing w:line="228" w:lineRule="auto"/>
        <w:ind w:firstLine="709"/>
        <w:jc w:val="both"/>
      </w:pPr>
    </w:p>
    <w:p w:rsidR="007C5325" w:rsidRPr="007C5325" w:rsidRDefault="007C5325" w:rsidP="00600D2C">
      <w:pPr>
        <w:pStyle w:val="ListParagraph"/>
        <w:numPr>
          <w:ilvl w:val="0"/>
          <w:numId w:val="12"/>
        </w:numPr>
        <w:spacing w:line="228" w:lineRule="auto"/>
        <w:jc w:val="both"/>
      </w:pPr>
      <w:r w:rsidRPr="00600D2C">
        <w:rPr>
          <w:b/>
        </w:rPr>
        <w:t>Bendros PVM registracijos</w:t>
      </w:r>
      <w:r w:rsidR="00951A98">
        <w:rPr>
          <w:b/>
        </w:rPr>
        <w:t xml:space="preserve"> visoje ES taikymas</w:t>
      </w:r>
    </w:p>
    <w:p w:rsidR="00904CE8" w:rsidRPr="00951A98" w:rsidRDefault="007C5325" w:rsidP="007C5325">
      <w:pPr>
        <w:spacing w:line="228" w:lineRule="auto"/>
        <w:ind w:firstLine="709"/>
        <w:jc w:val="both"/>
        <w:rPr>
          <w:i/>
          <w:u w:val="single"/>
        </w:rPr>
      </w:pPr>
      <w:r w:rsidRPr="00951A98">
        <w:rPr>
          <w:i/>
          <w:u w:val="single"/>
        </w:rPr>
        <w:t>Remiantis jau galiojančiu PVM vieno langelio principu</w:t>
      </w:r>
      <w:r w:rsidR="00BA07B8" w:rsidRPr="00951A98">
        <w:rPr>
          <w:i/>
          <w:u w:val="single"/>
        </w:rPr>
        <w:t xml:space="preserve"> (toliau – OSS)</w:t>
      </w:r>
      <w:r w:rsidRPr="00951A98">
        <w:rPr>
          <w:i/>
          <w:u w:val="single"/>
        </w:rPr>
        <w:t xml:space="preserve"> grindžiamos sistemos modeliu, skirtu prekybos internetu įmonėms, </w:t>
      </w:r>
      <w:r w:rsidR="0085245B" w:rsidRPr="00951A98">
        <w:rPr>
          <w:i/>
          <w:u w:val="single"/>
        </w:rPr>
        <w:t>EK</w:t>
      </w:r>
      <w:r w:rsidRPr="00951A98">
        <w:rPr>
          <w:i/>
          <w:u w:val="single"/>
        </w:rPr>
        <w:t xml:space="preserve"> pasiūlymu įmonėms, parduodančioms prekes ir paslaugas vartotojams kitoje valstybėje narėje, būtų sudarytos sąlygos visoje ES registruotis PVM tikslais tik vieną kartą ir vykdyti savo PVM prievoles per vieną internetinį portalą viena kalba.</w:t>
      </w:r>
    </w:p>
    <w:p w:rsidR="006F37DD" w:rsidRDefault="006F37DD" w:rsidP="007C5325">
      <w:pPr>
        <w:spacing w:line="228" w:lineRule="auto"/>
        <w:ind w:firstLine="709"/>
        <w:jc w:val="both"/>
      </w:pPr>
      <w:r>
        <w:t>Pakeitimai būtų įgyvendinami etapais:</w:t>
      </w:r>
    </w:p>
    <w:p w:rsidR="0090466A" w:rsidRPr="00951A98" w:rsidRDefault="0090466A" w:rsidP="007C5325">
      <w:pPr>
        <w:spacing w:line="228" w:lineRule="auto"/>
        <w:ind w:firstLine="709"/>
        <w:jc w:val="both"/>
        <w:rPr>
          <w:i/>
          <w:u w:val="single"/>
        </w:rPr>
      </w:pPr>
      <w:r w:rsidRPr="00951A98">
        <w:rPr>
          <w:i/>
          <w:u w:val="single"/>
        </w:rPr>
        <w:t>Nuo 2024 m. sausio 1 d. įsigaliotų dabartinių PVM elektroninės prekybos nuostatų patobulinimai:</w:t>
      </w:r>
    </w:p>
    <w:p w:rsidR="00F87765" w:rsidRDefault="00F71573" w:rsidP="00F71573">
      <w:pPr>
        <w:spacing w:line="228" w:lineRule="auto"/>
        <w:ind w:firstLine="709"/>
        <w:jc w:val="both"/>
      </w:pPr>
      <w:r>
        <w:t xml:space="preserve">- Skaičiuojant </w:t>
      </w:r>
      <w:r w:rsidR="00B0581A">
        <w:t>10 000 EUR ribą</w:t>
      </w:r>
      <w:r w:rsidR="0090466A">
        <w:t>, iki kurios</w:t>
      </w:r>
      <w:r>
        <w:t xml:space="preserve"> šiuo metu</w:t>
      </w:r>
      <w:r w:rsidR="0090466A">
        <w:t xml:space="preserve"> </w:t>
      </w:r>
      <w:r w:rsidR="00B0581A" w:rsidRPr="00B0581A">
        <w:t>E</w:t>
      </w:r>
      <w:r w:rsidR="00B0581A">
        <w:t>S</w:t>
      </w:r>
      <w:r w:rsidR="00CA076D">
        <w:t xml:space="preserve"> </w:t>
      </w:r>
      <w:r w:rsidR="00B0581A" w:rsidRPr="00B0581A">
        <w:t>vidaus nuotolinė</w:t>
      </w:r>
      <w:r w:rsidR="00B0581A">
        <w:t>s</w:t>
      </w:r>
      <w:r w:rsidR="00B0581A" w:rsidRPr="00B0581A">
        <w:t xml:space="preserve"> pr</w:t>
      </w:r>
      <w:r w:rsidR="00B0581A">
        <w:t>ekybos</w:t>
      </w:r>
      <w:r w:rsidR="00B0581A" w:rsidRPr="00B0581A">
        <w:t xml:space="preserve"> prekėmis</w:t>
      </w:r>
      <w:r w:rsidR="0090466A">
        <w:t xml:space="preserve"> ir </w:t>
      </w:r>
      <w:r w:rsidR="00BA07B8">
        <w:t>telekomunikacijų paslaugų</w:t>
      </w:r>
      <w:r w:rsidR="00BA07B8" w:rsidRPr="00BA07B8">
        <w:t>, radijo ir te</w:t>
      </w:r>
      <w:r w:rsidR="00BA07B8">
        <w:t>levizijos transliavimo paslaugų, elektroniniu būdu teikiamų paslaugų</w:t>
      </w:r>
      <w:r w:rsidR="00F87765">
        <w:t xml:space="preserve"> (toliau – e. paslaugos)</w:t>
      </w:r>
      <w:r w:rsidR="0090466A">
        <w:t xml:space="preserve"> teikimo vieta lieka tiekėj</w:t>
      </w:r>
      <w:r>
        <w:t xml:space="preserve">o įsisteigimo valstybėje narėje </w:t>
      </w:r>
      <w:r w:rsidR="0090466A">
        <w:t xml:space="preserve">būtų įtrauktas tik </w:t>
      </w:r>
      <w:r w:rsidR="00F87765">
        <w:t>e. paslaugų teikimas ir nuotolinis prekių,</w:t>
      </w:r>
      <w:r w:rsidR="00F87765" w:rsidRPr="00F87765">
        <w:t xml:space="preserve"> iš valstybės narės, kurioje yra įsisteigęs apmokestinamasis asmuo</w:t>
      </w:r>
      <w:r w:rsidR="00F87765">
        <w:t xml:space="preserve">, tiekimas. </w:t>
      </w:r>
    </w:p>
    <w:p w:rsidR="00F71573" w:rsidRDefault="00F71573" w:rsidP="00F71573">
      <w:pPr>
        <w:spacing w:line="228" w:lineRule="auto"/>
        <w:ind w:firstLine="709"/>
        <w:jc w:val="both"/>
      </w:pPr>
      <w:r>
        <w:t xml:space="preserve">- Paaiškinama, kad </w:t>
      </w:r>
      <w:r w:rsidR="00232A14" w:rsidRPr="00232A14">
        <w:t>E</w:t>
      </w:r>
      <w:r w:rsidR="00232A14">
        <w:t xml:space="preserve">S </w:t>
      </w:r>
      <w:r w:rsidR="00232A14" w:rsidRPr="00232A14">
        <w:t>neįsikūrusių asmenų schema</w:t>
      </w:r>
      <w:r w:rsidR="00232A14">
        <w:t xml:space="preserve"> </w:t>
      </w:r>
      <w:r>
        <w:t xml:space="preserve">apima </w:t>
      </w:r>
      <w:r w:rsidR="00232A14">
        <w:t xml:space="preserve">verslas – vartotojui (toliau - </w:t>
      </w:r>
      <w:r>
        <w:t>B2C</w:t>
      </w:r>
      <w:r w:rsidR="00232A14">
        <w:t>)</w:t>
      </w:r>
      <w:r>
        <w:t xml:space="preserve"> paslaugas, teikiamas visiems </w:t>
      </w:r>
      <w:r w:rsidR="00232A14">
        <w:t>ES vartotojams</w:t>
      </w:r>
      <w:r>
        <w:t xml:space="preserve">, o ne tik ES įsisteigusiems </w:t>
      </w:r>
      <w:r w:rsidR="00232A14">
        <w:t>vartotojams</w:t>
      </w:r>
      <w:r>
        <w:t>.</w:t>
      </w:r>
    </w:p>
    <w:p w:rsidR="00731E36" w:rsidRPr="00951A98" w:rsidRDefault="00F71573" w:rsidP="007C5325">
      <w:pPr>
        <w:spacing w:line="228" w:lineRule="auto"/>
        <w:ind w:firstLine="709"/>
        <w:jc w:val="both"/>
        <w:rPr>
          <w:i/>
          <w:u w:val="single"/>
        </w:rPr>
      </w:pPr>
      <w:r w:rsidRPr="00951A98">
        <w:rPr>
          <w:i/>
          <w:u w:val="single"/>
        </w:rPr>
        <w:t>Nuo 202</w:t>
      </w:r>
      <w:r w:rsidRPr="00951A98">
        <w:rPr>
          <w:i/>
          <w:u w:val="single"/>
          <w:lang w:val="en-US"/>
        </w:rPr>
        <w:t xml:space="preserve">5 </w:t>
      </w:r>
      <w:r w:rsidRPr="00951A98">
        <w:rPr>
          <w:i/>
          <w:u w:val="single"/>
        </w:rPr>
        <w:t xml:space="preserve"> m. sausio 1 d.</w:t>
      </w:r>
      <w:r w:rsidR="00731E36" w:rsidRPr="00951A98">
        <w:rPr>
          <w:i/>
          <w:u w:val="single"/>
        </w:rPr>
        <w:t xml:space="preserve"> įsigaliotų:</w:t>
      </w:r>
    </w:p>
    <w:p w:rsidR="00904CE8" w:rsidRDefault="00731E36" w:rsidP="007C5325">
      <w:pPr>
        <w:spacing w:line="228" w:lineRule="auto"/>
        <w:ind w:firstLine="709"/>
        <w:jc w:val="both"/>
      </w:pPr>
      <w:r>
        <w:t>-</w:t>
      </w:r>
      <w:r w:rsidR="00C9295B">
        <w:t xml:space="preserve"> </w:t>
      </w:r>
      <w:r w:rsidR="00C9295B" w:rsidRPr="003A7565">
        <w:t>Dabartinių PVM elektroninės prekybos procesų ir kontrolės patobulinimai</w:t>
      </w:r>
      <w:r w:rsidR="00C9295B">
        <w:t>, užtikrinantys platesnį keitimąsi informacija.</w:t>
      </w:r>
    </w:p>
    <w:p w:rsidR="00F71573" w:rsidRPr="00731E36" w:rsidRDefault="00731E36" w:rsidP="007C5325">
      <w:pPr>
        <w:spacing w:line="228" w:lineRule="auto"/>
        <w:ind w:firstLine="709"/>
        <w:jc w:val="both"/>
      </w:pPr>
      <w:r>
        <w:t>-</w:t>
      </w:r>
      <w:r w:rsidR="00EC6AE9" w:rsidRPr="00731E36">
        <w:t xml:space="preserve"> </w:t>
      </w:r>
      <w:r w:rsidR="00C9295B" w:rsidRPr="00C9295B">
        <w:t>OSS principu veikiančios schemos bus išplečiamos apimant ir tokius B2C v</w:t>
      </w:r>
      <w:r w:rsidR="00C9295B">
        <w:t>idaus  sandorius kuriuos vykdo apmokestinamieji asmenys</w:t>
      </w:r>
      <w:r w:rsidR="00C9295B" w:rsidRPr="00C9295B">
        <w:t xml:space="preserve">, kurie nėra registruoti vartojimo </w:t>
      </w:r>
      <w:r w:rsidR="00C9295B">
        <w:t>valstybėje narėje:</w:t>
      </w:r>
    </w:p>
    <w:p w:rsidR="009D664A" w:rsidRPr="00731E36" w:rsidRDefault="009D664A" w:rsidP="00731E36">
      <w:pPr>
        <w:pStyle w:val="ListParagraph"/>
        <w:numPr>
          <w:ilvl w:val="0"/>
          <w:numId w:val="14"/>
        </w:numPr>
        <w:spacing w:line="228" w:lineRule="auto"/>
        <w:jc w:val="both"/>
      </w:pPr>
      <w:r w:rsidRPr="00731E36">
        <w:t>Prekių, kurios surenkamos ar instaliuojamos</w:t>
      </w:r>
      <w:r w:rsidR="00731E36">
        <w:t>,</w:t>
      </w:r>
      <w:r w:rsidR="007F6D03">
        <w:t xml:space="preserve"> tiekimą</w:t>
      </w:r>
      <w:r w:rsidR="00232A14">
        <w:t>.</w:t>
      </w:r>
    </w:p>
    <w:p w:rsidR="007F6D03" w:rsidRPr="007F6D03" w:rsidRDefault="007F6D03" w:rsidP="00731E36">
      <w:pPr>
        <w:pStyle w:val="ListParagraph"/>
        <w:numPr>
          <w:ilvl w:val="0"/>
          <w:numId w:val="14"/>
        </w:numPr>
        <w:spacing w:line="228" w:lineRule="auto"/>
        <w:jc w:val="both"/>
      </w:pPr>
      <w:r w:rsidRPr="00731E36">
        <w:t>Prekių</w:t>
      </w:r>
      <w:r>
        <w:t xml:space="preserve"> tiekimą</w:t>
      </w:r>
      <w:r w:rsidRPr="00A561ED">
        <w:rPr>
          <w:bCs/>
          <w:color w:val="000000"/>
          <w:szCs w:val="24"/>
        </w:rPr>
        <w:t xml:space="preserve"> laivuose, orlaiviuose arba traukiniuose</w:t>
      </w:r>
      <w:r>
        <w:rPr>
          <w:bCs/>
          <w:color w:val="000000"/>
          <w:szCs w:val="24"/>
        </w:rPr>
        <w:t>.</w:t>
      </w:r>
    </w:p>
    <w:p w:rsidR="009D664A" w:rsidRPr="00731E36" w:rsidRDefault="009D664A" w:rsidP="00731E36">
      <w:pPr>
        <w:pStyle w:val="ListParagraph"/>
        <w:numPr>
          <w:ilvl w:val="0"/>
          <w:numId w:val="14"/>
        </w:numPr>
        <w:spacing w:line="228" w:lineRule="auto"/>
        <w:jc w:val="both"/>
      </w:pPr>
      <w:r w:rsidRPr="00731E36">
        <w:t>Dujų, elektros, šilumo</w:t>
      </w:r>
      <w:r w:rsidR="007F6D03">
        <w:t>s ar vėsinimo energijos tiekimą</w:t>
      </w:r>
      <w:r w:rsidR="00232A14">
        <w:t>.</w:t>
      </w:r>
      <w:r w:rsidRPr="00731E36">
        <w:t xml:space="preserve"> </w:t>
      </w:r>
    </w:p>
    <w:p w:rsidR="00731E36" w:rsidRDefault="009D664A" w:rsidP="00731E36">
      <w:pPr>
        <w:pStyle w:val="ListParagraph"/>
        <w:numPr>
          <w:ilvl w:val="0"/>
          <w:numId w:val="14"/>
        </w:numPr>
        <w:spacing w:line="228" w:lineRule="auto"/>
        <w:jc w:val="both"/>
      </w:pPr>
      <w:r w:rsidRPr="00731E36">
        <w:t>Par</w:t>
      </w:r>
      <w:r w:rsidR="007F6D03">
        <w:t>davėjo pagamintų prekių tiekimą</w:t>
      </w:r>
      <w:r w:rsidRPr="00731E36">
        <w:t xml:space="preserve"> dalyvaujant parodoje, mugėje ar panašiame renginyje.</w:t>
      </w:r>
    </w:p>
    <w:p w:rsidR="00C9295B" w:rsidRDefault="00C9295B" w:rsidP="00731E36">
      <w:pPr>
        <w:pStyle w:val="ListParagraph"/>
        <w:numPr>
          <w:ilvl w:val="0"/>
          <w:numId w:val="14"/>
        </w:numPr>
        <w:spacing w:line="228" w:lineRule="auto"/>
        <w:jc w:val="both"/>
      </w:pPr>
      <w:r>
        <w:t>ir kt.</w:t>
      </w:r>
    </w:p>
    <w:p w:rsidR="008C2B0B" w:rsidRDefault="008C2B0B" w:rsidP="008C2B0B">
      <w:pPr>
        <w:spacing w:line="228" w:lineRule="auto"/>
        <w:ind w:firstLine="709"/>
        <w:jc w:val="both"/>
      </w:pPr>
      <w:r w:rsidRPr="003927F4">
        <w:t>- OSS principu veikian</w:t>
      </w:r>
      <w:r>
        <w:t>ti</w:t>
      </w:r>
      <w:r w:rsidRPr="003927F4">
        <w:t xml:space="preserve"> schem</w:t>
      </w:r>
      <w:r>
        <w:t>a</w:t>
      </w:r>
      <w:r w:rsidRPr="003927F4">
        <w:t xml:space="preserve"> bus išplečiam</w:t>
      </w:r>
      <w:r>
        <w:t>a apimant ir preke</w:t>
      </w:r>
      <w:r w:rsidRPr="003927F4">
        <w:t xml:space="preserve">s, kurioms taikomos maržos apmokestinimo schemos (naudotos prekės, meno </w:t>
      </w:r>
      <w:r>
        <w:t xml:space="preserve">kūriniai, taip pat kolekciniai </w:t>
      </w:r>
      <w:r w:rsidRPr="003927F4">
        <w:t>ir antikvarinius daiktai),  kartu patikslinant, kad tokios prekės laikomos suteiktomis ir apmokestinamomis PVM pirkėjo valstybėje</w:t>
      </w:r>
      <w:r>
        <w:t>.</w:t>
      </w:r>
    </w:p>
    <w:p w:rsidR="00117000" w:rsidRDefault="0002024A" w:rsidP="00117000">
      <w:pPr>
        <w:spacing w:line="228" w:lineRule="auto"/>
        <w:ind w:firstLine="709"/>
        <w:jc w:val="both"/>
      </w:pPr>
      <w:r>
        <w:t>-</w:t>
      </w:r>
      <w:r w:rsidRPr="0002024A">
        <w:t xml:space="preserve"> Išplečiama platformų atsakomybė </w:t>
      </w:r>
      <w:r>
        <w:t>–</w:t>
      </w:r>
      <w:r w:rsidRPr="0002024A">
        <w:t xml:space="preserve"> </w:t>
      </w:r>
      <w:r w:rsidR="00C32E45">
        <w:t xml:space="preserve">platforma </w:t>
      </w:r>
      <w:r w:rsidRPr="0002024A">
        <w:t>laikoma tiekėju</w:t>
      </w:r>
      <w:r w:rsidR="00117000">
        <w:t xml:space="preserve"> (angl. </w:t>
      </w:r>
      <w:r w:rsidR="00117000" w:rsidRPr="00117000">
        <w:rPr>
          <w:i/>
        </w:rPr>
        <w:t>deemed supplier</w:t>
      </w:r>
      <w:r w:rsidR="00117000">
        <w:t>)</w:t>
      </w:r>
      <w:r w:rsidRPr="0002024A">
        <w:t xml:space="preserve">, kai </w:t>
      </w:r>
      <w:r w:rsidR="007F6D03">
        <w:t>per ją p</w:t>
      </w:r>
      <w:r w:rsidR="00A825CE">
        <w:t>agrindinis</w:t>
      </w:r>
      <w:r w:rsidR="007F6D03">
        <w:t xml:space="preserve"> tiekėjas prekes tiekia</w:t>
      </w:r>
      <w:r w:rsidRPr="0002024A">
        <w:t xml:space="preserve"> Bendrijos viduje</w:t>
      </w:r>
      <w:r w:rsidR="00C32E45">
        <w:t xml:space="preserve"> galutiniam pirkėjui</w:t>
      </w:r>
      <w:r>
        <w:t>,</w:t>
      </w:r>
      <w:r w:rsidRPr="0002024A">
        <w:t xml:space="preserve"> neatsižvelgiant į tai, kur p</w:t>
      </w:r>
      <w:r w:rsidR="00A825CE">
        <w:t>agrindinis</w:t>
      </w:r>
      <w:r w:rsidRPr="0002024A">
        <w:t xml:space="preserve"> tiekėjas </w:t>
      </w:r>
      <w:r w:rsidR="007F6D03" w:rsidRPr="0002024A">
        <w:t xml:space="preserve">yra įsisteigęs </w:t>
      </w:r>
      <w:r w:rsidRPr="0002024A">
        <w:t xml:space="preserve">ir koks </w:t>
      </w:r>
      <w:r>
        <w:t xml:space="preserve">galutinio </w:t>
      </w:r>
      <w:r w:rsidRPr="0002024A">
        <w:t>pirkėjo statusas</w:t>
      </w:r>
      <w:r>
        <w:t xml:space="preserve"> (tiek apmokestinamasis, tiek neapmokestinamasis asmuo)</w:t>
      </w:r>
      <w:r w:rsidRPr="0002024A">
        <w:t>.</w:t>
      </w:r>
      <w:r w:rsidR="00C32E45">
        <w:t xml:space="preserve"> </w:t>
      </w:r>
      <w:r w:rsidR="00C32E45" w:rsidRPr="00C32E45">
        <w:t>Todėl yra du tiekimai: neapmokestinamas tiekimas platformai, kurį teikia p</w:t>
      </w:r>
      <w:r w:rsidR="00A825CE">
        <w:t>agrindinis</w:t>
      </w:r>
      <w:r w:rsidR="00C32E45" w:rsidRPr="00C32E45">
        <w:t xml:space="preserve"> tiekėjas, ir apmokestinamas tiekimas iš platformos klientui.</w:t>
      </w:r>
    </w:p>
    <w:p w:rsidR="00117000" w:rsidRPr="003927F4" w:rsidRDefault="00117000" w:rsidP="00117000">
      <w:pPr>
        <w:spacing w:line="228" w:lineRule="auto"/>
        <w:ind w:firstLine="709"/>
        <w:jc w:val="both"/>
      </w:pPr>
      <w:r w:rsidRPr="003927F4">
        <w:t>- Nustatoma, kad tuo atveju, jei prekes tiekia ar paslaugas teikia toje ES valstybėje neįsisteigęs asmuo, privalomai PVM turėtų apskaičiuoti pirkėjas, jei jis registruotas PVM mokėtoju  (taikoma</w:t>
      </w:r>
      <w:r w:rsidR="00E245CD">
        <w:t>s atvirkštinis apmokestinimas).</w:t>
      </w:r>
    </w:p>
    <w:p w:rsidR="00117000" w:rsidRDefault="00117000" w:rsidP="00117000">
      <w:pPr>
        <w:spacing w:line="228" w:lineRule="auto"/>
        <w:ind w:firstLine="709"/>
        <w:jc w:val="both"/>
      </w:pPr>
      <w:r w:rsidRPr="003927F4">
        <w:t>- OSS principu veikiančios importo schemos im</w:t>
      </w:r>
      <w:r w:rsidR="00C32E45">
        <w:t xml:space="preserve">porto (IOSS) </w:t>
      </w:r>
      <w:r>
        <w:t>taikymas platformoms bus privalomas.</w:t>
      </w:r>
    </w:p>
    <w:p w:rsidR="00117000" w:rsidRDefault="00117000" w:rsidP="00117000">
      <w:pPr>
        <w:spacing w:line="228" w:lineRule="auto"/>
        <w:ind w:firstLine="709"/>
        <w:jc w:val="both"/>
      </w:pPr>
      <w:r>
        <w:t>- Pradeda veikti naujas OSS modulis: „OSS perdavimo modulis“, skirtas visų prekybininkų, pervežančių savo prekes ES viduje, deklaravimui, tokiu būdu sumažinant poreikį jiems registruotis PVM tikslais kitose valstybėse narėse:</w:t>
      </w:r>
    </w:p>
    <w:p w:rsidR="00117000" w:rsidRDefault="00C32E45" w:rsidP="00117000">
      <w:pPr>
        <w:pStyle w:val="ListParagraph"/>
        <w:numPr>
          <w:ilvl w:val="0"/>
          <w:numId w:val="18"/>
        </w:numPr>
        <w:spacing w:line="228" w:lineRule="auto"/>
        <w:ind w:left="1134"/>
        <w:jc w:val="both"/>
      </w:pPr>
      <w:r>
        <w:t>Pagal šį modelį n</w:t>
      </w:r>
      <w:r w:rsidR="00117000">
        <w:t>uo PVM atleidžiamas įsi</w:t>
      </w:r>
      <w:r>
        <w:t>gijimas iš kitų valstybių narių.</w:t>
      </w:r>
      <w:r w:rsidR="00117000">
        <w:t xml:space="preserve"> </w:t>
      </w:r>
    </w:p>
    <w:p w:rsidR="00117000" w:rsidRDefault="00C32E45" w:rsidP="00117000">
      <w:pPr>
        <w:pStyle w:val="ListParagraph"/>
        <w:numPr>
          <w:ilvl w:val="0"/>
          <w:numId w:val="18"/>
        </w:numPr>
        <w:spacing w:line="228" w:lineRule="auto"/>
        <w:ind w:left="1134"/>
        <w:jc w:val="both"/>
      </w:pPr>
      <w:r>
        <w:t>Šis modelis n</w:t>
      </w:r>
      <w:r w:rsidR="00117000">
        <w:t>etaikoma</w:t>
      </w:r>
      <w:r>
        <w:t>s</w:t>
      </w:r>
      <w:r w:rsidR="00117000">
        <w:t xml:space="preserve"> prekėms, kuri</w:t>
      </w:r>
      <w:r>
        <w:t>oms</w:t>
      </w:r>
      <w:r w:rsidR="00A825CE">
        <w:t xml:space="preserve"> negalima </w:t>
      </w:r>
      <w:r w:rsidR="00E245CD">
        <w:t>pilna</w:t>
      </w:r>
      <w:r w:rsidR="00A825CE">
        <w:t xml:space="preserve"> PVM atskaita</w:t>
      </w:r>
      <w:r w:rsidR="00117000">
        <w:t>.</w:t>
      </w:r>
    </w:p>
    <w:p w:rsidR="00F71573" w:rsidRDefault="00445B20" w:rsidP="00117000">
      <w:pPr>
        <w:spacing w:line="228" w:lineRule="auto"/>
        <w:ind w:firstLine="709"/>
        <w:jc w:val="both"/>
      </w:pPr>
      <w:r w:rsidRPr="00951A98">
        <w:rPr>
          <w:i/>
          <w:u w:val="single"/>
        </w:rPr>
        <w:t>Nuo 202</w:t>
      </w:r>
      <w:r w:rsidRPr="00951A98">
        <w:rPr>
          <w:i/>
          <w:u w:val="single"/>
          <w:lang w:val="en-US"/>
        </w:rPr>
        <w:t xml:space="preserve">6 </w:t>
      </w:r>
      <w:r w:rsidRPr="00951A98">
        <w:rPr>
          <w:i/>
          <w:u w:val="single"/>
        </w:rPr>
        <w:t xml:space="preserve"> m. sausio 1 d.</w:t>
      </w:r>
      <w:r w:rsidRPr="00117000">
        <w:t xml:space="preserve"> </w:t>
      </w:r>
      <w:r w:rsidR="00117000" w:rsidRPr="00117000">
        <w:t>n</w:t>
      </w:r>
      <w:r w:rsidR="00CF0E62" w:rsidRPr="00117000">
        <w:t>ebelieka</w:t>
      </w:r>
      <w:r w:rsidR="00CF0E62">
        <w:t xml:space="preserve"> prekių pristatymo</w:t>
      </w:r>
      <w:r w:rsidR="00CF0E62" w:rsidRPr="00CF0E62">
        <w:t>, kad jos būtų patiektos pagal pareikalavimą</w:t>
      </w:r>
      <w:r w:rsidR="00CF0E62">
        <w:t xml:space="preserve"> modelio.</w:t>
      </w:r>
    </w:p>
    <w:p w:rsidR="00117000" w:rsidRPr="00117000" w:rsidRDefault="00117000" w:rsidP="00117000">
      <w:pPr>
        <w:spacing w:line="228" w:lineRule="auto"/>
        <w:ind w:firstLine="709"/>
        <w:jc w:val="both"/>
        <w:rPr>
          <w:u w:val="single"/>
        </w:rPr>
      </w:pPr>
    </w:p>
    <w:p w:rsidR="007C5325" w:rsidRPr="00117000" w:rsidRDefault="007C5325" w:rsidP="007C5325">
      <w:pPr>
        <w:spacing w:line="228" w:lineRule="auto"/>
        <w:ind w:firstLine="709"/>
        <w:jc w:val="both"/>
        <w:rPr>
          <w:i/>
        </w:rPr>
      </w:pPr>
      <w:r w:rsidRPr="00117000">
        <w:rPr>
          <w:i/>
        </w:rPr>
        <w:t xml:space="preserve"> </w:t>
      </w:r>
      <w:r w:rsidR="00272BEC" w:rsidRPr="00117000">
        <w:rPr>
          <w:i/>
        </w:rPr>
        <w:t>EK s</w:t>
      </w:r>
      <w:r w:rsidRPr="00117000">
        <w:rPr>
          <w:i/>
        </w:rPr>
        <w:t>kaiči</w:t>
      </w:r>
      <w:r w:rsidR="00CF0E62" w:rsidRPr="00117000">
        <w:rPr>
          <w:i/>
        </w:rPr>
        <w:t>avimai rodo, kad, įgyvendinus visus šiuos pokyčius</w:t>
      </w:r>
      <w:r w:rsidRPr="00117000">
        <w:rPr>
          <w:i/>
        </w:rPr>
        <w:t xml:space="preserve">, per dešimt metų įmonės, ypač </w:t>
      </w:r>
      <w:r w:rsidR="00C32E45">
        <w:rPr>
          <w:i/>
        </w:rPr>
        <w:t>smulkus verslas</w:t>
      </w:r>
      <w:r w:rsidRPr="00117000">
        <w:rPr>
          <w:i/>
        </w:rPr>
        <w:t xml:space="preserve">, galėtų sutaupyti apie 8,7 mlrd. EUR registracijos ir administracinių išlaidų. </w:t>
      </w:r>
    </w:p>
    <w:p w:rsidR="007C5325" w:rsidRPr="00117000" w:rsidRDefault="007C5325" w:rsidP="00237575">
      <w:pPr>
        <w:ind w:firstLine="709"/>
        <w:jc w:val="both"/>
        <w:rPr>
          <w:i/>
          <w:szCs w:val="24"/>
        </w:rPr>
      </w:pPr>
    </w:p>
    <w:p w:rsidR="007C5325" w:rsidRPr="00117000" w:rsidRDefault="007C5325" w:rsidP="00237575">
      <w:pPr>
        <w:ind w:firstLine="709"/>
        <w:jc w:val="both"/>
        <w:rPr>
          <w:i/>
          <w:szCs w:val="24"/>
        </w:rPr>
      </w:pPr>
    </w:p>
    <w:p w:rsidR="00237575" w:rsidRDefault="00237575" w:rsidP="00237575">
      <w:pPr>
        <w:pStyle w:val="EntRefer"/>
        <w:spacing w:line="276" w:lineRule="auto"/>
        <w:ind w:right="-143" w:firstLine="709"/>
        <w:jc w:val="both"/>
        <w:rPr>
          <w:b w:val="0"/>
          <w:lang w:val="lt-LT"/>
        </w:rPr>
      </w:pPr>
      <w:r>
        <w:rPr>
          <w:b w:val="0"/>
          <w:lang w:val="lt-LT"/>
        </w:rPr>
        <w:t>P</w:t>
      </w:r>
      <w:r w:rsidRPr="00D159B0">
        <w:rPr>
          <w:b w:val="0"/>
          <w:lang w:val="lt-LT"/>
        </w:rPr>
        <w:t>asiūlym</w:t>
      </w:r>
      <w:r>
        <w:rPr>
          <w:b w:val="0"/>
          <w:lang w:val="lt-LT"/>
        </w:rPr>
        <w:t xml:space="preserve">ų projektus </w:t>
      </w:r>
      <w:r w:rsidRPr="00D159B0">
        <w:rPr>
          <w:b w:val="0"/>
          <w:lang w:val="lt-LT"/>
        </w:rPr>
        <w:t>galite</w:t>
      </w:r>
      <w:r>
        <w:rPr>
          <w:b w:val="0"/>
          <w:lang w:val="lt-LT"/>
        </w:rPr>
        <w:t xml:space="preserve"> rasti  žemiau nurodytoje interneto svetainėje, kuri suteikia prieigą prie Europos Sąjungos teisės aktų</w:t>
      </w:r>
      <w:r w:rsidRPr="00D159B0">
        <w:rPr>
          <w:b w:val="0"/>
          <w:lang w:val="lt-LT"/>
        </w:rPr>
        <w:t>:</w:t>
      </w:r>
    </w:p>
    <w:p w:rsidR="00237575" w:rsidRDefault="006830CD" w:rsidP="00237575">
      <w:pPr>
        <w:pStyle w:val="EntRefer"/>
        <w:spacing w:line="276" w:lineRule="auto"/>
        <w:ind w:firstLine="709"/>
        <w:jc w:val="both"/>
      </w:pPr>
      <w:hyperlink r:id="rId13" w:history="1">
        <w:r w:rsidR="00237575" w:rsidRPr="00F358BB">
          <w:rPr>
            <w:rStyle w:val="Hyperlink"/>
          </w:rPr>
          <w:t>http://eur-lex.europa.eu/homepage.html</w:t>
        </w:r>
      </w:hyperlink>
    </w:p>
    <w:p w:rsidR="00237575" w:rsidRDefault="00237575" w:rsidP="00237575">
      <w:pPr>
        <w:pStyle w:val="EntRefer"/>
        <w:spacing w:line="276" w:lineRule="auto"/>
        <w:ind w:firstLine="709"/>
        <w:jc w:val="both"/>
        <w:rPr>
          <w:b w:val="0"/>
          <w:szCs w:val="24"/>
          <w:lang w:val="lt-LT"/>
        </w:rPr>
      </w:pPr>
      <w:r w:rsidRPr="00D159B0">
        <w:rPr>
          <w:b w:val="0"/>
          <w:szCs w:val="24"/>
          <w:lang w:val="lt-LT"/>
        </w:rPr>
        <w:t xml:space="preserve">Maloniai prašome iki š. m. </w:t>
      </w:r>
      <w:r w:rsidR="00904CE8">
        <w:rPr>
          <w:b w:val="0"/>
          <w:szCs w:val="24"/>
          <w:lang w:val="lt-LT"/>
        </w:rPr>
        <w:t>gruodžio</w:t>
      </w:r>
      <w:r w:rsidRPr="00D159B0">
        <w:rPr>
          <w:b w:val="0"/>
          <w:szCs w:val="24"/>
          <w:lang w:val="lt-LT"/>
        </w:rPr>
        <w:t xml:space="preserve"> </w:t>
      </w:r>
      <w:r w:rsidR="00C316C2">
        <w:rPr>
          <w:b w:val="0"/>
          <w:szCs w:val="24"/>
          <w:lang w:val="en-US"/>
        </w:rPr>
        <w:t>30</w:t>
      </w:r>
      <w:r w:rsidRPr="00D159B0">
        <w:rPr>
          <w:b w:val="0"/>
          <w:szCs w:val="24"/>
          <w:lang w:val="lt-LT"/>
        </w:rPr>
        <w:t xml:space="preserve"> d. pateikti savo nuomonę dėl pateikt</w:t>
      </w:r>
      <w:r w:rsidR="00904CE8">
        <w:rPr>
          <w:b w:val="0"/>
          <w:szCs w:val="24"/>
          <w:lang w:val="lt-LT"/>
        </w:rPr>
        <w:t>ų</w:t>
      </w:r>
      <w:r w:rsidRPr="00D159B0">
        <w:rPr>
          <w:b w:val="0"/>
          <w:szCs w:val="24"/>
          <w:lang w:val="lt-LT"/>
        </w:rPr>
        <w:t xml:space="preserve"> Europos Komisijos pasiūlym</w:t>
      </w:r>
      <w:r w:rsidR="00904CE8">
        <w:rPr>
          <w:b w:val="0"/>
          <w:szCs w:val="24"/>
          <w:lang w:val="lt-LT"/>
        </w:rPr>
        <w:t>ų</w:t>
      </w:r>
      <w:r w:rsidRPr="00D159B0">
        <w:rPr>
          <w:b w:val="0"/>
          <w:szCs w:val="24"/>
          <w:lang w:val="lt-LT"/>
        </w:rPr>
        <w:t xml:space="preserve">. </w:t>
      </w:r>
    </w:p>
    <w:p w:rsidR="00237575" w:rsidRPr="00237575" w:rsidRDefault="00237575" w:rsidP="0021010A">
      <w:pPr>
        <w:rPr>
          <w:lang w:val="en-US"/>
        </w:rPr>
      </w:pPr>
    </w:p>
    <w:p w:rsidR="0021010A" w:rsidRDefault="0021010A" w:rsidP="006809E4"/>
    <w:p w:rsidR="0021010A" w:rsidRDefault="0021010A"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32A14" w:rsidRDefault="00232A14" w:rsidP="006809E4"/>
    <w:p w:rsidR="0021010A" w:rsidRDefault="0021010A" w:rsidP="006809E4"/>
    <w:p w:rsidR="00434190" w:rsidRPr="00367DBF" w:rsidRDefault="00434190">
      <w:pPr>
        <w:spacing w:after="200" w:line="276" w:lineRule="auto"/>
        <w:rPr>
          <w:sz w:val="20"/>
        </w:rPr>
      </w:pPr>
      <w:r w:rsidRPr="00367DBF">
        <w:rPr>
          <w:sz w:val="20"/>
        </w:rPr>
        <w:t xml:space="preserve">R. Pileckienė, tel. (8 5) 219 9359, el. p. </w:t>
      </w:r>
      <w:hyperlink r:id="rId14" w:history="1">
        <w:r w:rsidRPr="00367DBF">
          <w:rPr>
            <w:rStyle w:val="Hyperlink"/>
            <w:sz w:val="20"/>
          </w:rPr>
          <w:t>Ruta.Pileckiene@finmin.lt</w:t>
        </w:r>
      </w:hyperlink>
    </w:p>
    <w:p w:rsidR="00434190" w:rsidRPr="00434190" w:rsidRDefault="00434190" w:rsidP="00434190">
      <w:pPr>
        <w:spacing w:line="360" w:lineRule="auto"/>
        <w:jc w:val="center"/>
        <w:rPr>
          <w:b/>
          <w:szCs w:val="24"/>
        </w:rPr>
      </w:pPr>
      <w:r w:rsidRPr="00434190">
        <w:rPr>
          <w:b/>
          <w:szCs w:val="24"/>
        </w:rPr>
        <w:lastRenderedPageBreak/>
        <w:t>GAVĖJŲ SĄRAŠAS</w:t>
      </w:r>
    </w:p>
    <w:p w:rsidR="00434190" w:rsidRPr="006F6A5B" w:rsidRDefault="00434190" w:rsidP="00434190">
      <w:pPr>
        <w:spacing w:line="360" w:lineRule="auto"/>
        <w:rPr>
          <w:szCs w:val="24"/>
        </w:rPr>
      </w:pPr>
    </w:p>
    <w:p w:rsidR="004F5A0A" w:rsidRPr="006F6A5B" w:rsidRDefault="004F5A0A" w:rsidP="004F5A0A">
      <w:pPr>
        <w:numPr>
          <w:ilvl w:val="0"/>
          <w:numId w:val="6"/>
        </w:numPr>
        <w:spacing w:line="360" w:lineRule="auto"/>
        <w:rPr>
          <w:szCs w:val="24"/>
        </w:rPr>
      </w:pPr>
      <w:r w:rsidRPr="006F6A5B">
        <w:rPr>
          <w:szCs w:val="24"/>
        </w:rPr>
        <w:t>Lietuvos Respublikos teisingumo ministerija</w:t>
      </w:r>
    </w:p>
    <w:p w:rsidR="004F5A0A" w:rsidRPr="006F6A5B" w:rsidRDefault="004F5A0A" w:rsidP="004F5A0A">
      <w:pPr>
        <w:numPr>
          <w:ilvl w:val="0"/>
          <w:numId w:val="6"/>
        </w:numPr>
        <w:spacing w:line="360" w:lineRule="auto"/>
        <w:rPr>
          <w:szCs w:val="24"/>
        </w:rPr>
      </w:pPr>
      <w:r w:rsidRPr="006F6A5B">
        <w:rPr>
          <w:szCs w:val="24"/>
        </w:rPr>
        <w:t>Lietuvos Respublikos ekonomikos ir inovacijų ministerija</w:t>
      </w:r>
    </w:p>
    <w:p w:rsidR="004F5A0A" w:rsidRPr="006F6A5B" w:rsidRDefault="004F5A0A" w:rsidP="004F5A0A">
      <w:pPr>
        <w:numPr>
          <w:ilvl w:val="0"/>
          <w:numId w:val="6"/>
        </w:numPr>
        <w:spacing w:line="360" w:lineRule="auto"/>
        <w:rPr>
          <w:szCs w:val="24"/>
        </w:rPr>
      </w:pPr>
      <w:r w:rsidRPr="006F6A5B">
        <w:rPr>
          <w:szCs w:val="24"/>
        </w:rPr>
        <w:t xml:space="preserve">Lietuvos Respublikos </w:t>
      </w:r>
      <w:r>
        <w:rPr>
          <w:szCs w:val="24"/>
        </w:rPr>
        <w:t>susisiekimo ministerija</w:t>
      </w:r>
    </w:p>
    <w:p w:rsidR="004F5A0A" w:rsidRPr="006F6A5B" w:rsidRDefault="004F5A0A" w:rsidP="004F5A0A">
      <w:pPr>
        <w:numPr>
          <w:ilvl w:val="0"/>
          <w:numId w:val="6"/>
        </w:numPr>
        <w:spacing w:line="360" w:lineRule="auto"/>
        <w:rPr>
          <w:szCs w:val="24"/>
        </w:rPr>
      </w:pPr>
      <w:r w:rsidRPr="006F6A5B">
        <w:rPr>
          <w:szCs w:val="24"/>
        </w:rPr>
        <w:t>Asociacija „Investors</w:t>
      </w:r>
      <w:r w:rsidRPr="006F6A5B">
        <w:rPr>
          <w:szCs w:val="24"/>
          <w:lang w:val="en-US"/>
        </w:rPr>
        <w:t>’</w:t>
      </w:r>
      <w:r w:rsidRPr="006F6A5B">
        <w:rPr>
          <w:szCs w:val="24"/>
        </w:rPr>
        <w:t xml:space="preserve"> Forum“ – info@investorsforum.lt</w:t>
      </w:r>
    </w:p>
    <w:p w:rsidR="004F5A0A" w:rsidRPr="006F6A5B" w:rsidRDefault="004F5A0A" w:rsidP="004F5A0A">
      <w:pPr>
        <w:numPr>
          <w:ilvl w:val="0"/>
          <w:numId w:val="6"/>
        </w:numPr>
        <w:spacing w:line="360" w:lineRule="auto"/>
        <w:rPr>
          <w:szCs w:val="24"/>
        </w:rPr>
      </w:pPr>
      <w:r w:rsidRPr="006F6A5B">
        <w:rPr>
          <w:szCs w:val="24"/>
        </w:rPr>
        <w:t>Lietuvos prekybos, pramonės ir amatų rūmų asociacija – info@chambers.lt</w:t>
      </w:r>
    </w:p>
    <w:p w:rsidR="004F5A0A" w:rsidRPr="006F6A5B" w:rsidRDefault="004F5A0A" w:rsidP="004F5A0A">
      <w:pPr>
        <w:numPr>
          <w:ilvl w:val="0"/>
          <w:numId w:val="6"/>
        </w:numPr>
        <w:spacing w:line="360" w:lineRule="auto"/>
        <w:rPr>
          <w:szCs w:val="24"/>
        </w:rPr>
      </w:pPr>
      <w:r w:rsidRPr="006F6A5B">
        <w:rPr>
          <w:szCs w:val="24"/>
        </w:rPr>
        <w:t xml:space="preserve">Lietuvos verslo konfederacija </w:t>
      </w:r>
      <w:r w:rsidRPr="006F6A5B">
        <w:rPr>
          <w:szCs w:val="24"/>
        </w:rPr>
        <w:noBreakHyphen/>
        <w:t xml:space="preserve"> </w:t>
      </w:r>
      <w:r w:rsidRPr="006F6A5B">
        <w:rPr>
          <w:bCs/>
          <w:szCs w:val="24"/>
        </w:rPr>
        <w:t>info@lvk.lt</w:t>
      </w:r>
    </w:p>
    <w:p w:rsidR="004F5A0A" w:rsidRPr="006F6A5B" w:rsidRDefault="004F5A0A" w:rsidP="004F5A0A">
      <w:pPr>
        <w:numPr>
          <w:ilvl w:val="0"/>
          <w:numId w:val="6"/>
        </w:numPr>
        <w:spacing w:line="360" w:lineRule="auto"/>
        <w:rPr>
          <w:szCs w:val="24"/>
        </w:rPr>
      </w:pPr>
      <w:r w:rsidRPr="006F6A5B">
        <w:rPr>
          <w:szCs w:val="24"/>
        </w:rPr>
        <w:t>Lietuvos pramonininkų konfederacija – sekretoriatas@lpk.lt</w:t>
      </w:r>
    </w:p>
    <w:p w:rsidR="004F5A0A" w:rsidRPr="006F6A5B" w:rsidRDefault="004F5A0A" w:rsidP="004F5A0A">
      <w:pPr>
        <w:numPr>
          <w:ilvl w:val="0"/>
          <w:numId w:val="6"/>
        </w:numPr>
        <w:spacing w:line="360" w:lineRule="auto"/>
        <w:rPr>
          <w:szCs w:val="24"/>
        </w:rPr>
      </w:pPr>
      <w:r w:rsidRPr="006F6A5B">
        <w:rPr>
          <w:szCs w:val="24"/>
        </w:rPr>
        <w:t xml:space="preserve">Lietuvos smulkiojo ir vidutinio verslo taryba– </w:t>
      </w:r>
      <w:r w:rsidRPr="006F6A5B">
        <w:rPr>
          <w:bCs/>
          <w:szCs w:val="24"/>
        </w:rPr>
        <w:t>svvtaryba@eimin.lt</w:t>
      </w:r>
    </w:p>
    <w:p w:rsidR="004F5A0A" w:rsidRPr="006F6A5B" w:rsidRDefault="004F5A0A" w:rsidP="004F5A0A">
      <w:pPr>
        <w:numPr>
          <w:ilvl w:val="0"/>
          <w:numId w:val="6"/>
        </w:numPr>
        <w:spacing w:line="360" w:lineRule="auto"/>
        <w:rPr>
          <w:szCs w:val="24"/>
        </w:rPr>
      </w:pPr>
      <w:r w:rsidRPr="006F6A5B">
        <w:rPr>
          <w:szCs w:val="24"/>
        </w:rPr>
        <w:t>Lietuvos smulkiųjų verslininkų ir prekybininkų asociacija – asociacija@lsvpa.lt</w:t>
      </w:r>
    </w:p>
    <w:p w:rsidR="004F5A0A" w:rsidRPr="006F6A5B" w:rsidRDefault="004F5A0A" w:rsidP="004F5A0A">
      <w:pPr>
        <w:numPr>
          <w:ilvl w:val="0"/>
          <w:numId w:val="6"/>
        </w:numPr>
        <w:spacing w:line="360" w:lineRule="auto"/>
        <w:rPr>
          <w:szCs w:val="24"/>
        </w:rPr>
      </w:pPr>
      <w:r w:rsidRPr="006F6A5B">
        <w:rPr>
          <w:szCs w:val="24"/>
        </w:rPr>
        <w:t>Lietuvos auditorių rūma</w:t>
      </w:r>
      <w:r>
        <w:rPr>
          <w:szCs w:val="24"/>
        </w:rPr>
        <w:t>i</w:t>
      </w:r>
      <w:r w:rsidRPr="006F6A5B">
        <w:rPr>
          <w:szCs w:val="24"/>
        </w:rPr>
        <w:t xml:space="preserve"> – lar@lar.lt</w:t>
      </w:r>
    </w:p>
    <w:p w:rsidR="004F5A0A" w:rsidRPr="006F6A5B" w:rsidRDefault="004F5A0A" w:rsidP="004F5A0A">
      <w:pPr>
        <w:numPr>
          <w:ilvl w:val="0"/>
          <w:numId w:val="6"/>
        </w:numPr>
        <w:spacing w:line="360" w:lineRule="auto"/>
        <w:rPr>
          <w:szCs w:val="24"/>
        </w:rPr>
      </w:pPr>
      <w:r w:rsidRPr="006F6A5B">
        <w:rPr>
          <w:szCs w:val="24"/>
        </w:rPr>
        <w:t xml:space="preserve">Lietuvos buhalterių ir auditorių asociacija – </w:t>
      </w:r>
      <w:r w:rsidRPr="006F6A5B">
        <w:rPr>
          <w:szCs w:val="24"/>
          <w:lang w:val="en"/>
        </w:rPr>
        <w:t>admin@lbaa.lt</w:t>
      </w:r>
    </w:p>
    <w:p w:rsidR="004F5A0A" w:rsidRPr="006F6A5B" w:rsidRDefault="004F5A0A" w:rsidP="004F5A0A">
      <w:pPr>
        <w:numPr>
          <w:ilvl w:val="0"/>
          <w:numId w:val="6"/>
        </w:numPr>
        <w:spacing w:line="360" w:lineRule="auto"/>
        <w:rPr>
          <w:szCs w:val="24"/>
        </w:rPr>
      </w:pPr>
      <w:r w:rsidRPr="006F6A5B">
        <w:rPr>
          <w:szCs w:val="24"/>
        </w:rPr>
        <w:t>Lietuvos mokesčių mokėtojų asociacija – info@lmma.lt</w:t>
      </w:r>
    </w:p>
    <w:p w:rsidR="004F5A0A" w:rsidRPr="006F6A5B" w:rsidRDefault="004F5A0A" w:rsidP="004F5A0A">
      <w:pPr>
        <w:numPr>
          <w:ilvl w:val="0"/>
          <w:numId w:val="6"/>
        </w:numPr>
        <w:spacing w:line="360" w:lineRule="auto"/>
        <w:rPr>
          <w:szCs w:val="24"/>
        </w:rPr>
      </w:pPr>
      <w:r w:rsidRPr="006F6A5B">
        <w:rPr>
          <w:szCs w:val="24"/>
        </w:rPr>
        <w:t xml:space="preserve">Lietuvos darbdavių konfederacija – </w:t>
      </w:r>
      <w:r w:rsidRPr="006F6A5B">
        <w:rPr>
          <w:szCs w:val="24"/>
          <w:lang w:val="de-DE"/>
        </w:rPr>
        <w:t>info@darbdaviai.org</w:t>
      </w:r>
    </w:p>
    <w:p w:rsidR="004F5A0A" w:rsidRDefault="004F5A0A" w:rsidP="004F5A0A">
      <w:pPr>
        <w:numPr>
          <w:ilvl w:val="0"/>
          <w:numId w:val="6"/>
        </w:numPr>
        <w:spacing w:line="360" w:lineRule="auto"/>
        <w:rPr>
          <w:szCs w:val="24"/>
        </w:rPr>
      </w:pPr>
      <w:r w:rsidRPr="006F6A5B">
        <w:rPr>
          <w:szCs w:val="24"/>
        </w:rPr>
        <w:t xml:space="preserve">Lietuvos prekybos įmonių asociacija </w:t>
      </w:r>
      <w:r w:rsidRPr="006F6A5B">
        <w:rPr>
          <w:szCs w:val="24"/>
        </w:rPr>
        <w:noBreakHyphen/>
        <w:t xml:space="preserve"> info@lpia.lt</w:t>
      </w:r>
    </w:p>
    <w:p w:rsidR="004F5A0A" w:rsidRPr="004F5A0A" w:rsidRDefault="004F5A0A" w:rsidP="004F5A0A">
      <w:pPr>
        <w:pStyle w:val="ListParagraph"/>
        <w:numPr>
          <w:ilvl w:val="0"/>
          <w:numId w:val="6"/>
        </w:numPr>
        <w:spacing w:line="360" w:lineRule="auto"/>
        <w:rPr>
          <w:szCs w:val="24"/>
        </w:rPr>
      </w:pPr>
      <w:r>
        <w:t xml:space="preserve">Lietuvos prekybos, pramonės ir amatų rūmų asociacija </w:t>
      </w:r>
      <w:r>
        <w:noBreakHyphen/>
        <w:t xml:space="preserve"> </w:t>
      </w:r>
      <w:r w:rsidRPr="00F87765">
        <w:t>info@chambers.lt</w:t>
      </w:r>
    </w:p>
    <w:p w:rsidR="004F5A0A" w:rsidRDefault="004F5A0A" w:rsidP="004F5A0A">
      <w:pPr>
        <w:numPr>
          <w:ilvl w:val="0"/>
          <w:numId w:val="6"/>
        </w:numPr>
        <w:spacing w:line="360" w:lineRule="auto"/>
        <w:rPr>
          <w:szCs w:val="24"/>
        </w:rPr>
      </w:pPr>
      <w:r w:rsidRPr="0090690A">
        <w:rPr>
          <w:szCs w:val="24"/>
        </w:rPr>
        <w:t>Lietuvos viešbučių ir restoranų asociacija</w:t>
      </w:r>
      <w:r>
        <w:rPr>
          <w:szCs w:val="24"/>
        </w:rPr>
        <w:t xml:space="preserve"> - </w:t>
      </w:r>
      <w:r w:rsidR="00F87765" w:rsidRPr="00F87765">
        <w:rPr>
          <w:szCs w:val="24"/>
        </w:rPr>
        <w:t>info@lvra.lt</w:t>
      </w:r>
    </w:p>
    <w:p w:rsidR="00F87765" w:rsidRPr="00F87765" w:rsidRDefault="00F87765" w:rsidP="004F5A0A">
      <w:pPr>
        <w:numPr>
          <w:ilvl w:val="0"/>
          <w:numId w:val="6"/>
        </w:numPr>
        <w:spacing w:line="360" w:lineRule="auto"/>
        <w:rPr>
          <w:szCs w:val="24"/>
        </w:rPr>
      </w:pPr>
      <w:r>
        <w:rPr>
          <w:szCs w:val="24"/>
        </w:rPr>
        <w:t xml:space="preserve">Lietuvos kelionių verslo asociacija – </w:t>
      </w:r>
      <w:r w:rsidRPr="00F87765">
        <w:rPr>
          <w:szCs w:val="24"/>
        </w:rPr>
        <w:t>asociacija</w:t>
      </w:r>
      <w:r w:rsidRPr="00F87765">
        <w:rPr>
          <w:szCs w:val="24"/>
          <w:lang w:val="en-US"/>
        </w:rPr>
        <w:t>@lkva.eu</w:t>
      </w:r>
    </w:p>
    <w:p w:rsidR="00F87765" w:rsidRPr="0090690A" w:rsidRDefault="00F87765" w:rsidP="00F87765">
      <w:pPr>
        <w:numPr>
          <w:ilvl w:val="0"/>
          <w:numId w:val="6"/>
        </w:numPr>
        <w:spacing w:line="360" w:lineRule="auto"/>
        <w:rPr>
          <w:szCs w:val="24"/>
        </w:rPr>
      </w:pPr>
      <w:r w:rsidRPr="00F87765">
        <w:rPr>
          <w:szCs w:val="24"/>
        </w:rPr>
        <w:t>Lietuvos turizmo asociacija</w:t>
      </w:r>
      <w:r>
        <w:rPr>
          <w:szCs w:val="24"/>
        </w:rPr>
        <w:t xml:space="preserve"> - </w:t>
      </w:r>
      <w:r w:rsidRPr="00F87765">
        <w:rPr>
          <w:szCs w:val="24"/>
        </w:rPr>
        <w:t>info@ltas.lt</w:t>
      </w:r>
    </w:p>
    <w:p w:rsidR="004F5A0A" w:rsidRPr="004F5A0A" w:rsidRDefault="004F5A0A" w:rsidP="004F5A0A">
      <w:pPr>
        <w:pStyle w:val="ListParagraph"/>
        <w:spacing w:line="360" w:lineRule="auto"/>
        <w:rPr>
          <w:color w:val="000000"/>
          <w:szCs w:val="24"/>
        </w:rPr>
      </w:pPr>
    </w:p>
    <w:p w:rsidR="004F5A0A" w:rsidRPr="006F6A5B" w:rsidRDefault="004F5A0A" w:rsidP="004F5A0A">
      <w:pPr>
        <w:pStyle w:val="ListParagraph"/>
        <w:spacing w:line="360" w:lineRule="auto"/>
        <w:rPr>
          <w:szCs w:val="24"/>
        </w:rPr>
      </w:pPr>
    </w:p>
    <w:p w:rsidR="00600D2C" w:rsidRDefault="00600D2C" w:rsidP="00600D2C">
      <w:pPr>
        <w:spacing w:line="360" w:lineRule="auto"/>
        <w:rPr>
          <w:szCs w:val="24"/>
        </w:rPr>
      </w:pPr>
    </w:p>
    <w:p w:rsidR="00600D2C" w:rsidRPr="006F6A5B" w:rsidRDefault="00600D2C" w:rsidP="00600D2C">
      <w:pPr>
        <w:spacing w:line="360" w:lineRule="auto"/>
        <w:rPr>
          <w:szCs w:val="24"/>
        </w:rPr>
      </w:pPr>
    </w:p>
    <w:p w:rsidR="00434190" w:rsidRPr="006F6A5B" w:rsidRDefault="00434190" w:rsidP="00434190">
      <w:pPr>
        <w:spacing w:line="360" w:lineRule="auto"/>
        <w:rPr>
          <w:szCs w:val="24"/>
        </w:rPr>
      </w:pPr>
    </w:p>
    <w:p w:rsidR="00434190" w:rsidRDefault="00434190" w:rsidP="00434190">
      <w:pPr>
        <w:ind w:left="360"/>
      </w:pPr>
    </w:p>
    <w:p w:rsidR="00434190" w:rsidRDefault="00434190" w:rsidP="00434190">
      <w:pPr>
        <w:pStyle w:val="ListParagraph"/>
        <w:contextualSpacing w:val="0"/>
      </w:pPr>
    </w:p>
    <w:p w:rsidR="00434190" w:rsidRPr="00434190" w:rsidRDefault="00434190" w:rsidP="00434190">
      <w:pPr>
        <w:pStyle w:val="ListParagraph"/>
      </w:pPr>
    </w:p>
    <w:p w:rsidR="00434190" w:rsidRDefault="00434190">
      <w:pPr>
        <w:spacing w:after="200" w:line="276" w:lineRule="auto"/>
        <w:rPr>
          <w:sz w:val="20"/>
        </w:rPr>
      </w:pPr>
    </w:p>
    <w:sectPr w:rsidR="00434190">
      <w:footerReference w:type="default" r:id="rId15"/>
      <w:type w:val="continuous"/>
      <w:pgSz w:w="11906" w:h="16838" w:code="9"/>
      <w:pgMar w:top="1134" w:right="567" w:bottom="992" w:left="1701" w:header="561"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CD" w:rsidRDefault="006830CD">
      <w:r>
        <w:separator/>
      </w:r>
    </w:p>
  </w:endnote>
  <w:endnote w:type="continuationSeparator" w:id="0">
    <w:p w:rsidR="006830CD" w:rsidRDefault="0068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BA"/>
    <w:family w:val="swiss"/>
    <w:pitch w:val="variable"/>
    <w:sig w:usb0="E10002FF" w:usb1="4000ACFF" w:usb2="00000009" w:usb3="00000000" w:csb0="0000019F" w:csb1="00000000"/>
  </w:font>
  <w:font w:name="Tahoma">
    <w:charset w:val="BA"/>
    <w:family w:val="swiss"/>
    <w:pitch w:val="variable"/>
    <w:sig w:usb0="E1002EFF" w:usb1="C000605B" w:usb2="00000029" w:usb3="00000000" w:csb0="000101FF" w:csb1="00000000"/>
  </w:font>
  <w:font w:name="Cambria">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45" w:rsidRDefault="007D123B">
    <w:pPr>
      <w:ind w:right="227"/>
      <w:jc w:val="right"/>
    </w:pPr>
    <w:r>
      <w:rPr>
        <w:sz w:val="10"/>
      </w:rPr>
      <w:fldChar w:fldCharType="begin"/>
    </w:r>
    <w:r>
      <w:rPr>
        <w:sz w:val="10"/>
      </w:rPr>
      <w:instrText xml:space="preserve"> FILENAME  \* MERGEFORMAT </w:instrText>
    </w:r>
    <w:r>
      <w:rPr>
        <w:sz w:val="10"/>
      </w:rPr>
      <w:fldChar w:fldCharType="separate"/>
    </w:r>
    <w:r>
      <w:rPr>
        <w:noProof/>
        <w:sz w:val="10"/>
      </w:rPr>
      <w:t>Lydrastis del 442 LRV nutarimo pakeitimo</w:t>
    </w:r>
    <w:r>
      <w:rPr>
        <w:sz w:val="10"/>
      </w:rPr>
      <w:fldChar w:fldCharType="end"/>
    </w:r>
  </w:p>
  <w:tbl>
    <w:tblPr>
      <w:tblW w:w="0" w:type="auto"/>
      <w:tblInd w:w="102" w:type="dxa"/>
      <w:tblLayout w:type="fixed"/>
      <w:tblCellMar>
        <w:left w:w="102" w:type="dxa"/>
        <w:right w:w="102" w:type="dxa"/>
      </w:tblCellMar>
      <w:tblLook w:val="0000" w:firstRow="0" w:lastRow="0" w:firstColumn="0" w:lastColumn="0" w:noHBand="0" w:noVBand="0"/>
    </w:tblPr>
    <w:tblGrid>
      <w:gridCol w:w="3119"/>
      <w:gridCol w:w="1615"/>
      <w:gridCol w:w="2212"/>
      <w:gridCol w:w="2552"/>
    </w:tblGrid>
    <w:tr w:rsidR="00676E45">
      <w:tc>
        <w:tcPr>
          <w:tcW w:w="3119" w:type="dxa"/>
        </w:tcPr>
        <w:p w:rsidR="00676E45" w:rsidRDefault="007D123B">
          <w:pPr>
            <w:pStyle w:val="Footer"/>
            <w:rPr>
              <w:sz w:val="16"/>
            </w:rPr>
          </w:pPr>
          <w:r>
            <w:rPr>
              <w:sz w:val="16"/>
            </w:rPr>
            <w:t xml:space="preserve">Kodas 8860165 </w:t>
          </w:r>
        </w:p>
      </w:tc>
      <w:tc>
        <w:tcPr>
          <w:tcW w:w="1615" w:type="dxa"/>
        </w:tcPr>
        <w:p w:rsidR="00676E45" w:rsidRDefault="007D123B">
          <w:pPr>
            <w:pStyle w:val="Footer"/>
            <w:rPr>
              <w:sz w:val="16"/>
            </w:rPr>
          </w:pPr>
          <w:r>
            <w:rPr>
              <w:sz w:val="16"/>
            </w:rPr>
            <w:t>Telefonas  39 00 05</w:t>
          </w:r>
        </w:p>
      </w:tc>
      <w:tc>
        <w:tcPr>
          <w:tcW w:w="2212" w:type="dxa"/>
        </w:tcPr>
        <w:p w:rsidR="00676E45" w:rsidRDefault="007D123B">
          <w:pPr>
            <w:pStyle w:val="Footer"/>
            <w:rPr>
              <w:sz w:val="16"/>
            </w:rPr>
          </w:pPr>
          <w:r>
            <w:rPr>
              <w:sz w:val="16"/>
            </w:rPr>
            <w:t>El. paštas: finmin@finmin.lt</w:t>
          </w:r>
        </w:p>
      </w:tc>
      <w:tc>
        <w:tcPr>
          <w:tcW w:w="2552" w:type="dxa"/>
        </w:tcPr>
        <w:p w:rsidR="00676E45" w:rsidRDefault="007D123B">
          <w:pPr>
            <w:pStyle w:val="Footer"/>
            <w:rPr>
              <w:sz w:val="16"/>
            </w:rPr>
          </w:pPr>
          <w:r>
            <w:rPr>
              <w:sz w:val="16"/>
            </w:rPr>
            <w:t>Atsiskait. sąsk. Nr. 253002007</w:t>
          </w:r>
        </w:p>
      </w:tc>
    </w:tr>
    <w:tr w:rsidR="00676E45">
      <w:tc>
        <w:tcPr>
          <w:tcW w:w="3119" w:type="dxa"/>
        </w:tcPr>
        <w:p w:rsidR="00676E45" w:rsidRDefault="007D123B">
          <w:pPr>
            <w:pStyle w:val="Footer"/>
            <w:rPr>
              <w:sz w:val="16"/>
            </w:rPr>
          </w:pPr>
          <w:r>
            <w:rPr>
              <w:sz w:val="16"/>
            </w:rPr>
            <w:t>J. Tumo-Vaižganto g. 8</w:t>
          </w:r>
          <w:r>
            <w:rPr>
              <w:sz w:val="16"/>
              <w:vertAlign w:val="superscript"/>
            </w:rPr>
            <w:t>A</w:t>
          </w:r>
          <w:r>
            <w:rPr>
              <w:sz w:val="16"/>
            </w:rPr>
            <w:t>/2 LT-2600 Vilnius</w:t>
          </w:r>
        </w:p>
      </w:tc>
      <w:tc>
        <w:tcPr>
          <w:tcW w:w="1615" w:type="dxa"/>
        </w:tcPr>
        <w:p w:rsidR="00676E45" w:rsidRDefault="007D123B">
          <w:pPr>
            <w:pStyle w:val="Footer"/>
            <w:rPr>
              <w:sz w:val="16"/>
            </w:rPr>
          </w:pPr>
          <w:r>
            <w:rPr>
              <w:sz w:val="16"/>
            </w:rPr>
            <w:t>Faksas     79 14 81</w:t>
          </w:r>
        </w:p>
      </w:tc>
      <w:tc>
        <w:tcPr>
          <w:tcW w:w="2212" w:type="dxa"/>
        </w:tcPr>
        <w:p w:rsidR="00676E45" w:rsidRDefault="007D123B">
          <w:pPr>
            <w:pStyle w:val="Footer"/>
            <w:rPr>
              <w:sz w:val="16"/>
            </w:rPr>
          </w:pPr>
          <w:r>
            <w:rPr>
              <w:sz w:val="16"/>
            </w:rPr>
            <w:t>http://www.finmin.lt</w:t>
          </w:r>
        </w:p>
      </w:tc>
      <w:tc>
        <w:tcPr>
          <w:tcW w:w="2552" w:type="dxa"/>
        </w:tcPr>
        <w:p w:rsidR="00676E45" w:rsidRDefault="007D123B">
          <w:pPr>
            <w:pStyle w:val="Footer"/>
            <w:rPr>
              <w:sz w:val="16"/>
            </w:rPr>
          </w:pPr>
          <w:r>
            <w:rPr>
              <w:sz w:val="16"/>
            </w:rPr>
            <w:t>LTB Sostinės skyrius, kodas 60111</w:t>
          </w:r>
        </w:p>
      </w:tc>
    </w:tr>
  </w:tbl>
  <w:p w:rsidR="00676E45" w:rsidRDefault="00683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45" w:rsidRPr="00775CB5" w:rsidRDefault="007D123B">
    <w:pPr>
      <w:ind w:right="227"/>
      <w:jc w:val="right"/>
      <w:rPr>
        <w:sz w:val="10"/>
      </w:rPr>
    </w:pPr>
    <w:r w:rsidRPr="00775CB5">
      <w:rPr>
        <w:sz w:val="10"/>
      </w:rPr>
      <w:fldChar w:fldCharType="begin"/>
    </w:r>
    <w:r w:rsidRPr="00775CB5">
      <w:rPr>
        <w:sz w:val="10"/>
      </w:rPr>
      <w:instrText xml:space="preserve"> FILENAME  \* MERGEFORMAT </w:instrText>
    </w:r>
    <w:r w:rsidRPr="00775CB5">
      <w:rPr>
        <w:sz w:val="10"/>
      </w:rPr>
      <w:fldChar w:fldCharType="separate"/>
    </w:r>
    <w:r>
      <w:rPr>
        <w:noProof/>
        <w:sz w:val="10"/>
      </w:rPr>
      <w:t>Lydrastis del 442 LRV nutarimo pakeitimo</w:t>
    </w:r>
    <w:r w:rsidRPr="00775CB5">
      <w:rPr>
        <w:sz w:val="10"/>
      </w:rPr>
      <w:fldChar w:fldCharType="end"/>
    </w:r>
  </w:p>
  <w:p w:rsidR="001A1D75" w:rsidRPr="00775CB5" w:rsidRDefault="006830CD">
    <w:pPr>
      <w:ind w:right="227"/>
      <w:jc w:val="right"/>
      <w:rPr>
        <w:sz w:val="10"/>
      </w:rPr>
    </w:pPr>
  </w:p>
  <w:tbl>
    <w:tblPr>
      <w:tblW w:w="0" w:type="auto"/>
      <w:tblInd w:w="102" w:type="dxa"/>
      <w:tblBorders>
        <w:top w:val="single" w:sz="4" w:space="0" w:color="auto"/>
      </w:tblBorders>
      <w:tblLayout w:type="fixed"/>
      <w:tblCellMar>
        <w:left w:w="56" w:type="dxa"/>
        <w:right w:w="56" w:type="dxa"/>
      </w:tblCellMar>
      <w:tblLook w:val="0000" w:firstRow="0" w:lastRow="0" w:firstColumn="0" w:lastColumn="0" w:noHBand="0" w:noVBand="0"/>
    </w:tblPr>
    <w:tblGrid>
      <w:gridCol w:w="3215"/>
      <w:gridCol w:w="1559"/>
      <w:gridCol w:w="1984"/>
      <w:gridCol w:w="2836"/>
    </w:tblGrid>
    <w:tr w:rsidR="00676E45" w:rsidRPr="00775CB5">
      <w:tc>
        <w:tcPr>
          <w:tcW w:w="3215" w:type="dxa"/>
        </w:tcPr>
        <w:p w:rsidR="00676E45" w:rsidRPr="00775CB5" w:rsidRDefault="007D123B">
          <w:pPr>
            <w:pStyle w:val="Footer"/>
            <w:rPr>
              <w:sz w:val="16"/>
            </w:rPr>
          </w:pPr>
          <w:r>
            <w:rPr>
              <w:sz w:val="16"/>
            </w:rPr>
            <w:t>B</w:t>
          </w:r>
          <w:r w:rsidRPr="00775CB5">
            <w:rPr>
              <w:sz w:val="16"/>
            </w:rPr>
            <w:t>iudžetinė įstaiga</w:t>
          </w:r>
        </w:p>
      </w:tc>
      <w:tc>
        <w:tcPr>
          <w:tcW w:w="1559" w:type="dxa"/>
        </w:tcPr>
        <w:p w:rsidR="00676E45" w:rsidRPr="00775CB5" w:rsidRDefault="007D123B">
          <w:pPr>
            <w:pStyle w:val="Footer"/>
            <w:tabs>
              <w:tab w:val="clear" w:pos="4153"/>
              <w:tab w:val="clear" w:pos="8306"/>
            </w:tabs>
            <w:rPr>
              <w:sz w:val="16"/>
            </w:rPr>
          </w:pPr>
          <w:r w:rsidRPr="00775CB5">
            <w:rPr>
              <w:sz w:val="16"/>
            </w:rPr>
            <w:t>Tel.   (8 5) 239 0000</w:t>
          </w:r>
        </w:p>
      </w:tc>
      <w:tc>
        <w:tcPr>
          <w:tcW w:w="1984" w:type="dxa"/>
        </w:tcPr>
        <w:p w:rsidR="00676E45" w:rsidRPr="00775CB5" w:rsidRDefault="007D123B">
          <w:pPr>
            <w:pStyle w:val="Footer"/>
            <w:rPr>
              <w:sz w:val="16"/>
            </w:rPr>
          </w:pPr>
          <w:r w:rsidRPr="00775CB5">
            <w:rPr>
              <w:sz w:val="16"/>
            </w:rPr>
            <w:t>El. paštas finmin@finmin.lt</w:t>
          </w:r>
        </w:p>
      </w:tc>
      <w:tc>
        <w:tcPr>
          <w:tcW w:w="2836" w:type="dxa"/>
        </w:tcPr>
        <w:p w:rsidR="00676E45" w:rsidRPr="00775CB5" w:rsidRDefault="007D123B">
          <w:pPr>
            <w:pStyle w:val="Footer"/>
            <w:rPr>
              <w:sz w:val="16"/>
            </w:rPr>
          </w:pPr>
          <w:r w:rsidRPr="00775CB5">
            <w:rPr>
              <w:sz w:val="16"/>
            </w:rPr>
            <w:t>Duomenys kaupiami ir saugomi</w:t>
          </w:r>
          <w:r>
            <w:rPr>
              <w:sz w:val="16"/>
            </w:rPr>
            <w:t xml:space="preserve"> </w:t>
          </w:r>
          <w:r w:rsidRPr="00775CB5">
            <w:rPr>
              <w:sz w:val="16"/>
            </w:rPr>
            <w:t>Juridinių</w:t>
          </w:r>
        </w:p>
      </w:tc>
    </w:tr>
    <w:tr w:rsidR="00676E45" w:rsidRPr="00775CB5">
      <w:tc>
        <w:tcPr>
          <w:tcW w:w="3215" w:type="dxa"/>
        </w:tcPr>
        <w:p w:rsidR="00676E45" w:rsidRPr="00775CB5" w:rsidRDefault="007D123B">
          <w:pPr>
            <w:pStyle w:val="Footer"/>
            <w:rPr>
              <w:sz w:val="16"/>
            </w:rPr>
          </w:pPr>
          <w:r>
            <w:rPr>
              <w:sz w:val="16"/>
            </w:rPr>
            <w:t xml:space="preserve">Lukiškių g. </w:t>
          </w:r>
          <w:r w:rsidRPr="00775CB5">
            <w:rPr>
              <w:sz w:val="16"/>
            </w:rPr>
            <w:t>2, LT-01512 Vilnius</w:t>
          </w:r>
        </w:p>
      </w:tc>
      <w:tc>
        <w:tcPr>
          <w:tcW w:w="1559" w:type="dxa"/>
        </w:tcPr>
        <w:p w:rsidR="00676E45" w:rsidRPr="00775CB5" w:rsidRDefault="007D123B">
          <w:pPr>
            <w:pStyle w:val="Footer"/>
            <w:rPr>
              <w:sz w:val="16"/>
            </w:rPr>
          </w:pPr>
          <w:r w:rsidRPr="00775CB5">
            <w:rPr>
              <w:sz w:val="16"/>
            </w:rPr>
            <w:t>Faks. (8 5) 279 1481</w:t>
          </w:r>
        </w:p>
      </w:tc>
      <w:tc>
        <w:tcPr>
          <w:tcW w:w="1984" w:type="dxa"/>
        </w:tcPr>
        <w:p w:rsidR="00676E45" w:rsidRPr="00775CB5" w:rsidRDefault="007D123B">
          <w:pPr>
            <w:pStyle w:val="Footer"/>
            <w:rPr>
              <w:sz w:val="16"/>
            </w:rPr>
          </w:pPr>
          <w:r w:rsidRPr="00775CB5">
            <w:rPr>
              <w:sz w:val="16"/>
            </w:rPr>
            <w:t>http://www.finmin.lt</w:t>
          </w:r>
        </w:p>
      </w:tc>
      <w:tc>
        <w:tcPr>
          <w:tcW w:w="2836" w:type="dxa"/>
        </w:tcPr>
        <w:p w:rsidR="00676E45" w:rsidRPr="00775CB5" w:rsidRDefault="007D123B" w:rsidP="00775CB5">
          <w:pPr>
            <w:pStyle w:val="Footer"/>
            <w:rPr>
              <w:sz w:val="16"/>
            </w:rPr>
          </w:pPr>
          <w:r w:rsidRPr="00775CB5">
            <w:rPr>
              <w:sz w:val="16"/>
            </w:rPr>
            <w:t>asmenų registre</w:t>
          </w:r>
          <w:r>
            <w:rPr>
              <w:sz w:val="16"/>
            </w:rPr>
            <w:t>, k</w:t>
          </w:r>
          <w:r w:rsidRPr="00775CB5">
            <w:rPr>
              <w:sz w:val="16"/>
            </w:rPr>
            <w:t>odas 288601650</w:t>
          </w:r>
        </w:p>
      </w:tc>
    </w:tr>
  </w:tbl>
  <w:p w:rsidR="00676E45" w:rsidRPr="00775CB5" w:rsidRDefault="00683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45" w:rsidRDefault="006830CD">
    <w:pPr>
      <w:ind w:right="2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CD" w:rsidRDefault="006830CD">
      <w:r>
        <w:separator/>
      </w:r>
    </w:p>
  </w:footnote>
  <w:footnote w:type="continuationSeparator" w:id="0">
    <w:p w:rsidR="006830CD" w:rsidRDefault="0068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45" w:rsidRDefault="007D12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E45" w:rsidRDefault="006830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45" w:rsidRDefault="007D12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AB9">
      <w:rPr>
        <w:rStyle w:val="PageNumber"/>
        <w:noProof/>
      </w:rPr>
      <w:t>5</w:t>
    </w:r>
    <w:r>
      <w:rPr>
        <w:rStyle w:val="PageNumber"/>
      </w:rPr>
      <w:fldChar w:fldCharType="end"/>
    </w:r>
  </w:p>
  <w:p w:rsidR="00676E45" w:rsidRDefault="006830C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45" w:rsidRDefault="007D123B">
    <w:pPr>
      <w:pStyle w:val="Header"/>
      <w:ind w:right="360"/>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246"/>
    <w:multiLevelType w:val="hybridMultilevel"/>
    <w:tmpl w:val="B01A7980"/>
    <w:lvl w:ilvl="0" w:tplc="59963F24">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0CFD6817"/>
    <w:multiLevelType w:val="hybridMultilevel"/>
    <w:tmpl w:val="F9549926"/>
    <w:lvl w:ilvl="0" w:tplc="CDEEA26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DD270B8"/>
    <w:multiLevelType w:val="hybridMultilevel"/>
    <w:tmpl w:val="137E343C"/>
    <w:lvl w:ilvl="0" w:tplc="3BA6B2D2">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16502F61"/>
    <w:multiLevelType w:val="hybridMultilevel"/>
    <w:tmpl w:val="B97419CA"/>
    <w:lvl w:ilvl="0" w:tplc="D8804184">
      <w:start w:val="1"/>
      <w:numFmt w:val="decimal"/>
      <w:lvlText w:val="%1."/>
      <w:lvlJc w:val="left"/>
      <w:pPr>
        <w:ind w:left="1129" w:hanging="360"/>
      </w:pPr>
      <w:rPr>
        <w:rFonts w:hint="default"/>
        <w:b w:val="0"/>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4" w15:restartNumberingAfterBreak="0">
    <w:nsid w:val="34321A96"/>
    <w:multiLevelType w:val="hybridMultilevel"/>
    <w:tmpl w:val="99083048"/>
    <w:lvl w:ilvl="0" w:tplc="59A21CB4">
      <w:start w:val="2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3CE72D7E"/>
    <w:multiLevelType w:val="hybridMultilevel"/>
    <w:tmpl w:val="F54AB5FE"/>
    <w:lvl w:ilvl="0" w:tplc="04270003">
      <w:start w:val="1"/>
      <w:numFmt w:val="bullet"/>
      <w:lvlText w:val="o"/>
      <w:lvlJc w:val="left"/>
      <w:pPr>
        <w:ind w:left="1429" w:hanging="360"/>
      </w:pPr>
      <w:rPr>
        <w:rFonts w:ascii="Courier New" w:hAnsi="Courier New" w:cs="Courier New" w:hint="default"/>
      </w:rPr>
    </w:lvl>
    <w:lvl w:ilvl="1" w:tplc="8E0A87FA">
      <w:numFmt w:val="bullet"/>
      <w:lvlText w:val="-"/>
      <w:lvlJc w:val="left"/>
      <w:pPr>
        <w:ind w:left="2149" w:hanging="360"/>
      </w:pPr>
      <w:rPr>
        <w:rFonts w:ascii="Times New Roman" w:eastAsia="Times New Roman" w:hAnsi="Times New Roman" w:cs="Times New Roman"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42CC4AA2"/>
    <w:multiLevelType w:val="hybridMultilevel"/>
    <w:tmpl w:val="BBB6E2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F70AD7"/>
    <w:multiLevelType w:val="hybridMultilevel"/>
    <w:tmpl w:val="F94685DA"/>
    <w:lvl w:ilvl="0" w:tplc="04270001">
      <w:start w:val="1"/>
      <w:numFmt w:val="bullet"/>
      <w:lvlText w:val=""/>
      <w:lvlJc w:val="left"/>
      <w:pPr>
        <w:ind w:left="1429" w:hanging="360"/>
      </w:pPr>
      <w:rPr>
        <w:rFonts w:ascii="Symbol" w:hAnsi="Symbol" w:hint="default"/>
      </w:rPr>
    </w:lvl>
    <w:lvl w:ilvl="1" w:tplc="8E0A87FA">
      <w:numFmt w:val="bullet"/>
      <w:lvlText w:val="-"/>
      <w:lvlJc w:val="left"/>
      <w:pPr>
        <w:ind w:left="2149" w:hanging="360"/>
      </w:pPr>
      <w:rPr>
        <w:rFonts w:ascii="Times New Roman" w:eastAsia="Times New Roman" w:hAnsi="Times New Roman" w:cs="Times New Roman"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4FBB6E0C"/>
    <w:multiLevelType w:val="hybridMultilevel"/>
    <w:tmpl w:val="7F426888"/>
    <w:lvl w:ilvl="0" w:tplc="9C2E06F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5D8204C6"/>
    <w:multiLevelType w:val="hybridMultilevel"/>
    <w:tmpl w:val="85F0EB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F7A0FAC"/>
    <w:multiLevelType w:val="hybridMultilevel"/>
    <w:tmpl w:val="6B3E8BCE"/>
    <w:lvl w:ilvl="0" w:tplc="F86260D0">
      <w:start w:val="2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633371F9"/>
    <w:multiLevelType w:val="hybridMultilevel"/>
    <w:tmpl w:val="991C48EA"/>
    <w:lvl w:ilvl="0" w:tplc="04270001">
      <w:start w:val="1"/>
      <w:numFmt w:val="bullet"/>
      <w:lvlText w:val=""/>
      <w:lvlJc w:val="left"/>
      <w:pPr>
        <w:ind w:left="788" w:hanging="360"/>
      </w:pPr>
      <w:rPr>
        <w:rFonts w:ascii="Symbol" w:hAnsi="Symbol" w:hint="default"/>
      </w:rPr>
    </w:lvl>
    <w:lvl w:ilvl="1" w:tplc="3BA6B2D2">
      <w:numFmt w:val="bullet"/>
      <w:lvlText w:val="-"/>
      <w:lvlJc w:val="left"/>
      <w:pPr>
        <w:ind w:left="1508" w:hanging="360"/>
      </w:pPr>
      <w:rPr>
        <w:rFonts w:ascii="Times New Roman" w:eastAsia="Times New Roman" w:hAnsi="Times New Roman" w:cs="Times New Roman"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12" w15:restartNumberingAfterBreak="0">
    <w:nsid w:val="64170BF9"/>
    <w:multiLevelType w:val="hybridMultilevel"/>
    <w:tmpl w:val="0A001B3A"/>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7206176B"/>
    <w:multiLevelType w:val="hybridMultilevel"/>
    <w:tmpl w:val="02E6A94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15:restartNumberingAfterBreak="0">
    <w:nsid w:val="7B942D32"/>
    <w:multiLevelType w:val="hybridMultilevel"/>
    <w:tmpl w:val="145ECE4A"/>
    <w:lvl w:ilvl="0" w:tplc="CDEEA262">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7D8645EA"/>
    <w:multiLevelType w:val="hybridMultilevel"/>
    <w:tmpl w:val="092C55EC"/>
    <w:lvl w:ilvl="0" w:tplc="0A5A6F2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5"/>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
  </w:num>
  <w:num w:numId="13">
    <w:abstractNumId w:val="4"/>
  </w:num>
  <w:num w:numId="14">
    <w:abstractNumId w:val="12"/>
  </w:num>
  <w:num w:numId="15">
    <w:abstractNumId w:val="10"/>
  </w:num>
  <w:num w:numId="16">
    <w:abstractNumId w:val="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E4"/>
    <w:rsid w:val="0002024A"/>
    <w:rsid w:val="00020C2A"/>
    <w:rsid w:val="000214F6"/>
    <w:rsid w:val="0003525E"/>
    <w:rsid w:val="0007513E"/>
    <w:rsid w:val="000951B1"/>
    <w:rsid w:val="0009782F"/>
    <w:rsid w:val="000C3DD6"/>
    <w:rsid w:val="000D5374"/>
    <w:rsid w:val="000E169B"/>
    <w:rsid w:val="000E2775"/>
    <w:rsid w:val="000F1CC2"/>
    <w:rsid w:val="000F4145"/>
    <w:rsid w:val="00117000"/>
    <w:rsid w:val="00125D5C"/>
    <w:rsid w:val="001417C6"/>
    <w:rsid w:val="001467F5"/>
    <w:rsid w:val="00161B0C"/>
    <w:rsid w:val="00175C1D"/>
    <w:rsid w:val="00182A42"/>
    <w:rsid w:val="00183392"/>
    <w:rsid w:val="00195EAE"/>
    <w:rsid w:val="001A3351"/>
    <w:rsid w:val="001A3BC8"/>
    <w:rsid w:val="001A49D5"/>
    <w:rsid w:val="001B5024"/>
    <w:rsid w:val="001D74E4"/>
    <w:rsid w:val="001E3A19"/>
    <w:rsid w:val="001E5C20"/>
    <w:rsid w:val="001F6FC5"/>
    <w:rsid w:val="00200E85"/>
    <w:rsid w:val="0021010A"/>
    <w:rsid w:val="00232A14"/>
    <w:rsid w:val="00234EC0"/>
    <w:rsid w:val="00237575"/>
    <w:rsid w:val="00237AB8"/>
    <w:rsid w:val="00240AFC"/>
    <w:rsid w:val="00244DC2"/>
    <w:rsid w:val="002453BF"/>
    <w:rsid w:val="00246069"/>
    <w:rsid w:val="0025211D"/>
    <w:rsid w:val="00256352"/>
    <w:rsid w:val="00263F43"/>
    <w:rsid w:val="0026411E"/>
    <w:rsid w:val="00271210"/>
    <w:rsid w:val="00272BEC"/>
    <w:rsid w:val="00275972"/>
    <w:rsid w:val="00286D7F"/>
    <w:rsid w:val="00291568"/>
    <w:rsid w:val="002A33FB"/>
    <w:rsid w:val="002B1A31"/>
    <w:rsid w:val="002B1FF1"/>
    <w:rsid w:val="002B56DA"/>
    <w:rsid w:val="002D5A68"/>
    <w:rsid w:val="002E4D1C"/>
    <w:rsid w:val="003124FF"/>
    <w:rsid w:val="003547D7"/>
    <w:rsid w:val="00360480"/>
    <w:rsid w:val="00365CE3"/>
    <w:rsid w:val="00367DBF"/>
    <w:rsid w:val="00373073"/>
    <w:rsid w:val="00373897"/>
    <w:rsid w:val="00386262"/>
    <w:rsid w:val="00390942"/>
    <w:rsid w:val="00391560"/>
    <w:rsid w:val="003B0370"/>
    <w:rsid w:val="003B1ECB"/>
    <w:rsid w:val="003B6678"/>
    <w:rsid w:val="003C0FA0"/>
    <w:rsid w:val="003D6585"/>
    <w:rsid w:val="003E0D67"/>
    <w:rsid w:val="003E4FE8"/>
    <w:rsid w:val="003F2993"/>
    <w:rsid w:val="0040437F"/>
    <w:rsid w:val="00414628"/>
    <w:rsid w:val="00423268"/>
    <w:rsid w:val="004236E6"/>
    <w:rsid w:val="00430E6D"/>
    <w:rsid w:val="00434190"/>
    <w:rsid w:val="004350FB"/>
    <w:rsid w:val="00445B20"/>
    <w:rsid w:val="004534C3"/>
    <w:rsid w:val="0045567F"/>
    <w:rsid w:val="004915B2"/>
    <w:rsid w:val="004957A4"/>
    <w:rsid w:val="004A5E95"/>
    <w:rsid w:val="004B50C2"/>
    <w:rsid w:val="004B6AC6"/>
    <w:rsid w:val="004C33CF"/>
    <w:rsid w:val="004C7E74"/>
    <w:rsid w:val="004D11EA"/>
    <w:rsid w:val="004E21C8"/>
    <w:rsid w:val="004F0C2A"/>
    <w:rsid w:val="004F5A0A"/>
    <w:rsid w:val="00504175"/>
    <w:rsid w:val="00511603"/>
    <w:rsid w:val="00511EEA"/>
    <w:rsid w:val="00517B25"/>
    <w:rsid w:val="00534F33"/>
    <w:rsid w:val="00536210"/>
    <w:rsid w:val="00565E8F"/>
    <w:rsid w:val="00576BF6"/>
    <w:rsid w:val="005939F5"/>
    <w:rsid w:val="005A0E07"/>
    <w:rsid w:val="005A61A9"/>
    <w:rsid w:val="005B03AE"/>
    <w:rsid w:val="005B47B8"/>
    <w:rsid w:val="005C1F04"/>
    <w:rsid w:val="005C369C"/>
    <w:rsid w:val="005C4BDD"/>
    <w:rsid w:val="005C4F56"/>
    <w:rsid w:val="005E1B95"/>
    <w:rsid w:val="005E243A"/>
    <w:rsid w:val="005E2FB4"/>
    <w:rsid w:val="005E5A11"/>
    <w:rsid w:val="005F68D9"/>
    <w:rsid w:val="00600CF9"/>
    <w:rsid w:val="00600D2C"/>
    <w:rsid w:val="006105DD"/>
    <w:rsid w:val="00631391"/>
    <w:rsid w:val="006404F1"/>
    <w:rsid w:val="006513A6"/>
    <w:rsid w:val="00652E19"/>
    <w:rsid w:val="00666DD9"/>
    <w:rsid w:val="006809E4"/>
    <w:rsid w:val="006830CD"/>
    <w:rsid w:val="00686EA8"/>
    <w:rsid w:val="00696106"/>
    <w:rsid w:val="006977F9"/>
    <w:rsid w:val="006A4320"/>
    <w:rsid w:val="006C198E"/>
    <w:rsid w:val="006C26C5"/>
    <w:rsid w:val="006C6688"/>
    <w:rsid w:val="006F2C99"/>
    <w:rsid w:val="006F37DD"/>
    <w:rsid w:val="007002F6"/>
    <w:rsid w:val="007003BB"/>
    <w:rsid w:val="00701918"/>
    <w:rsid w:val="007218AD"/>
    <w:rsid w:val="00731E36"/>
    <w:rsid w:val="00786AB9"/>
    <w:rsid w:val="007925E1"/>
    <w:rsid w:val="007C5325"/>
    <w:rsid w:val="007D123B"/>
    <w:rsid w:val="007D51D8"/>
    <w:rsid w:val="007F2BBD"/>
    <w:rsid w:val="007F586D"/>
    <w:rsid w:val="007F597E"/>
    <w:rsid w:val="007F6D03"/>
    <w:rsid w:val="008260A3"/>
    <w:rsid w:val="00827C10"/>
    <w:rsid w:val="0084349A"/>
    <w:rsid w:val="0085245B"/>
    <w:rsid w:val="008573C6"/>
    <w:rsid w:val="00867AEB"/>
    <w:rsid w:val="00873757"/>
    <w:rsid w:val="008820B4"/>
    <w:rsid w:val="00883BDD"/>
    <w:rsid w:val="0088429F"/>
    <w:rsid w:val="008910A1"/>
    <w:rsid w:val="008A4B29"/>
    <w:rsid w:val="008B4244"/>
    <w:rsid w:val="008B7AD5"/>
    <w:rsid w:val="008C004A"/>
    <w:rsid w:val="008C024A"/>
    <w:rsid w:val="008C2B0B"/>
    <w:rsid w:val="008C56E2"/>
    <w:rsid w:val="008F49C4"/>
    <w:rsid w:val="0090466A"/>
    <w:rsid w:val="00904CE8"/>
    <w:rsid w:val="0090690A"/>
    <w:rsid w:val="009074F0"/>
    <w:rsid w:val="00910989"/>
    <w:rsid w:val="00946763"/>
    <w:rsid w:val="00951A98"/>
    <w:rsid w:val="009617C6"/>
    <w:rsid w:val="00967185"/>
    <w:rsid w:val="0097304E"/>
    <w:rsid w:val="00985631"/>
    <w:rsid w:val="0099353D"/>
    <w:rsid w:val="0099582A"/>
    <w:rsid w:val="009C6AB0"/>
    <w:rsid w:val="009D4041"/>
    <w:rsid w:val="009D593E"/>
    <w:rsid w:val="009D664A"/>
    <w:rsid w:val="009E7398"/>
    <w:rsid w:val="00A03AB3"/>
    <w:rsid w:val="00A044E7"/>
    <w:rsid w:val="00A117D9"/>
    <w:rsid w:val="00A11AE1"/>
    <w:rsid w:val="00A3250C"/>
    <w:rsid w:val="00A45B2C"/>
    <w:rsid w:val="00A52C4A"/>
    <w:rsid w:val="00A5336C"/>
    <w:rsid w:val="00A825CE"/>
    <w:rsid w:val="00A8391D"/>
    <w:rsid w:val="00A93322"/>
    <w:rsid w:val="00A94CD0"/>
    <w:rsid w:val="00A9631B"/>
    <w:rsid w:val="00A97742"/>
    <w:rsid w:val="00AA1B6F"/>
    <w:rsid w:val="00AA2DF3"/>
    <w:rsid w:val="00AB347A"/>
    <w:rsid w:val="00AC6B37"/>
    <w:rsid w:val="00AD1D64"/>
    <w:rsid w:val="00AD397C"/>
    <w:rsid w:val="00AD4E23"/>
    <w:rsid w:val="00B00A9C"/>
    <w:rsid w:val="00B0581A"/>
    <w:rsid w:val="00B1484A"/>
    <w:rsid w:val="00B30F6C"/>
    <w:rsid w:val="00B40EF2"/>
    <w:rsid w:val="00B42295"/>
    <w:rsid w:val="00B43929"/>
    <w:rsid w:val="00B474B7"/>
    <w:rsid w:val="00BA07B8"/>
    <w:rsid w:val="00BA1671"/>
    <w:rsid w:val="00BC5CEF"/>
    <w:rsid w:val="00BD0512"/>
    <w:rsid w:val="00BD194E"/>
    <w:rsid w:val="00BD3526"/>
    <w:rsid w:val="00BF407E"/>
    <w:rsid w:val="00BF49EB"/>
    <w:rsid w:val="00C23A89"/>
    <w:rsid w:val="00C316C2"/>
    <w:rsid w:val="00C32E45"/>
    <w:rsid w:val="00C5151F"/>
    <w:rsid w:val="00C73953"/>
    <w:rsid w:val="00C7783E"/>
    <w:rsid w:val="00C81CE4"/>
    <w:rsid w:val="00C82680"/>
    <w:rsid w:val="00C9295B"/>
    <w:rsid w:val="00CA076D"/>
    <w:rsid w:val="00CA09F6"/>
    <w:rsid w:val="00CA255F"/>
    <w:rsid w:val="00CD3456"/>
    <w:rsid w:val="00CF0E62"/>
    <w:rsid w:val="00D00EA1"/>
    <w:rsid w:val="00D05915"/>
    <w:rsid w:val="00D1604B"/>
    <w:rsid w:val="00D279E5"/>
    <w:rsid w:val="00D311D7"/>
    <w:rsid w:val="00D471E6"/>
    <w:rsid w:val="00D5391F"/>
    <w:rsid w:val="00D64118"/>
    <w:rsid w:val="00D6694D"/>
    <w:rsid w:val="00D86307"/>
    <w:rsid w:val="00D86BD4"/>
    <w:rsid w:val="00D93549"/>
    <w:rsid w:val="00D949A9"/>
    <w:rsid w:val="00D95CC3"/>
    <w:rsid w:val="00DC0F3F"/>
    <w:rsid w:val="00DC16B0"/>
    <w:rsid w:val="00DC3621"/>
    <w:rsid w:val="00DC3E55"/>
    <w:rsid w:val="00DE2CC0"/>
    <w:rsid w:val="00DF482C"/>
    <w:rsid w:val="00DF77CC"/>
    <w:rsid w:val="00E01104"/>
    <w:rsid w:val="00E062D4"/>
    <w:rsid w:val="00E14306"/>
    <w:rsid w:val="00E20EB5"/>
    <w:rsid w:val="00E245CD"/>
    <w:rsid w:val="00E340CB"/>
    <w:rsid w:val="00E4677B"/>
    <w:rsid w:val="00E5411F"/>
    <w:rsid w:val="00E57A34"/>
    <w:rsid w:val="00E57D84"/>
    <w:rsid w:val="00E63F5B"/>
    <w:rsid w:val="00E91794"/>
    <w:rsid w:val="00E942F6"/>
    <w:rsid w:val="00E9688A"/>
    <w:rsid w:val="00EA0BF3"/>
    <w:rsid w:val="00EA3272"/>
    <w:rsid w:val="00EA7D25"/>
    <w:rsid w:val="00EB2FBF"/>
    <w:rsid w:val="00EB77FE"/>
    <w:rsid w:val="00EC0D62"/>
    <w:rsid w:val="00EC6AE9"/>
    <w:rsid w:val="00ED3B8C"/>
    <w:rsid w:val="00EE06A6"/>
    <w:rsid w:val="00EF1A20"/>
    <w:rsid w:val="00EF5B25"/>
    <w:rsid w:val="00F02C10"/>
    <w:rsid w:val="00F572E5"/>
    <w:rsid w:val="00F614D9"/>
    <w:rsid w:val="00F71573"/>
    <w:rsid w:val="00F71891"/>
    <w:rsid w:val="00F87765"/>
    <w:rsid w:val="00F96402"/>
    <w:rsid w:val="00FA261E"/>
    <w:rsid w:val="00FA26E4"/>
    <w:rsid w:val="00FB5FCE"/>
    <w:rsid w:val="00FC5D78"/>
    <w:rsid w:val="00FD57F2"/>
    <w:rsid w:val="00FE1967"/>
    <w:rsid w:val="00FF310A"/>
    <w:rsid w:val="00FF61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509C2-88E6-401F-9DCE-D3CCEBBE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E4"/>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qFormat/>
    <w:rsid w:val="003B1EC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9E4"/>
    <w:pPr>
      <w:tabs>
        <w:tab w:val="center" w:pos="4153"/>
        <w:tab w:val="right" w:pos="8306"/>
      </w:tabs>
    </w:pPr>
  </w:style>
  <w:style w:type="character" w:customStyle="1" w:styleId="HeaderChar">
    <w:name w:val="Header Char"/>
    <w:basedOn w:val="DefaultParagraphFont"/>
    <w:link w:val="Header"/>
    <w:rsid w:val="006809E4"/>
    <w:rPr>
      <w:rFonts w:ascii="Times New Roman" w:eastAsia="Times New Roman" w:hAnsi="Times New Roman" w:cs="Times New Roman"/>
      <w:sz w:val="24"/>
      <w:szCs w:val="20"/>
      <w:lang w:eastAsia="lt-LT"/>
    </w:rPr>
  </w:style>
  <w:style w:type="paragraph" w:styleId="Footer">
    <w:name w:val="footer"/>
    <w:basedOn w:val="Normal"/>
    <w:link w:val="FooterChar"/>
    <w:rsid w:val="006809E4"/>
    <w:pPr>
      <w:tabs>
        <w:tab w:val="center" w:pos="4153"/>
        <w:tab w:val="right" w:pos="8306"/>
      </w:tabs>
    </w:pPr>
  </w:style>
  <w:style w:type="character" w:customStyle="1" w:styleId="FooterChar">
    <w:name w:val="Footer Char"/>
    <w:basedOn w:val="DefaultParagraphFont"/>
    <w:link w:val="Footer"/>
    <w:rsid w:val="006809E4"/>
    <w:rPr>
      <w:rFonts w:ascii="Times New Roman" w:eastAsia="Times New Roman" w:hAnsi="Times New Roman" w:cs="Times New Roman"/>
      <w:sz w:val="24"/>
      <w:szCs w:val="20"/>
      <w:lang w:eastAsia="lt-LT"/>
    </w:rPr>
  </w:style>
  <w:style w:type="character" w:styleId="PageNumber">
    <w:name w:val="page number"/>
    <w:basedOn w:val="DefaultParagraphFont"/>
    <w:rsid w:val="006809E4"/>
  </w:style>
  <w:style w:type="paragraph" w:styleId="ListParagraph">
    <w:name w:val="List Paragraph"/>
    <w:basedOn w:val="Normal"/>
    <w:uiPriority w:val="34"/>
    <w:qFormat/>
    <w:rsid w:val="006809E4"/>
    <w:pPr>
      <w:ind w:left="720"/>
      <w:contextualSpacing/>
    </w:pPr>
  </w:style>
  <w:style w:type="paragraph" w:styleId="BalloonText">
    <w:name w:val="Balloon Text"/>
    <w:basedOn w:val="Normal"/>
    <w:link w:val="BalloonTextChar"/>
    <w:uiPriority w:val="99"/>
    <w:semiHidden/>
    <w:unhideWhenUsed/>
    <w:rsid w:val="006809E4"/>
    <w:rPr>
      <w:rFonts w:ascii="Tahoma" w:hAnsi="Tahoma" w:cs="Tahoma"/>
      <w:sz w:val="16"/>
      <w:szCs w:val="16"/>
    </w:rPr>
  </w:style>
  <w:style w:type="character" w:customStyle="1" w:styleId="BalloonTextChar">
    <w:name w:val="Balloon Text Char"/>
    <w:basedOn w:val="DefaultParagraphFont"/>
    <w:link w:val="BalloonText"/>
    <w:uiPriority w:val="99"/>
    <w:semiHidden/>
    <w:rsid w:val="006809E4"/>
    <w:rPr>
      <w:rFonts w:ascii="Tahoma" w:eastAsia="Times New Roman" w:hAnsi="Tahoma" w:cs="Tahoma"/>
      <w:sz w:val="16"/>
      <w:szCs w:val="16"/>
      <w:lang w:eastAsia="lt-LT"/>
    </w:rPr>
  </w:style>
  <w:style w:type="character" w:styleId="Hyperlink">
    <w:name w:val="Hyperlink"/>
    <w:basedOn w:val="DefaultParagraphFont"/>
    <w:uiPriority w:val="99"/>
    <w:unhideWhenUsed/>
    <w:rsid w:val="00D00EA1"/>
    <w:rPr>
      <w:color w:val="0000FF" w:themeColor="hyperlink"/>
      <w:u w:val="single"/>
    </w:rPr>
  </w:style>
  <w:style w:type="character" w:customStyle="1" w:styleId="Heading1Char">
    <w:name w:val="Heading 1 Char"/>
    <w:basedOn w:val="DefaultParagraphFont"/>
    <w:link w:val="Heading1"/>
    <w:rsid w:val="003B1ECB"/>
    <w:rPr>
      <w:rFonts w:ascii="Times New Roman" w:eastAsia="Times New Roman" w:hAnsi="Times New Roman" w:cs="Times New Roman"/>
      <w:b/>
      <w:sz w:val="24"/>
      <w:szCs w:val="20"/>
      <w:lang w:eastAsia="lt-LT"/>
    </w:rPr>
  </w:style>
  <w:style w:type="character" w:styleId="Strong">
    <w:name w:val="Strong"/>
    <w:basedOn w:val="DefaultParagraphFont"/>
    <w:qFormat/>
    <w:rsid w:val="003B1ECB"/>
    <w:rPr>
      <w:b/>
      <w:bCs/>
    </w:rPr>
  </w:style>
  <w:style w:type="paragraph" w:styleId="BodyText">
    <w:name w:val="Body Text"/>
    <w:basedOn w:val="Normal"/>
    <w:link w:val="BodyTextChar"/>
    <w:uiPriority w:val="99"/>
    <w:unhideWhenUsed/>
    <w:rsid w:val="003B1ECB"/>
    <w:pPr>
      <w:ind w:firstLine="567"/>
      <w:jc w:val="both"/>
    </w:pPr>
    <w:rPr>
      <w:szCs w:val="24"/>
    </w:rPr>
  </w:style>
  <w:style w:type="character" w:customStyle="1" w:styleId="BodyTextChar">
    <w:name w:val="Body Text Char"/>
    <w:basedOn w:val="DefaultParagraphFont"/>
    <w:link w:val="BodyText"/>
    <w:uiPriority w:val="99"/>
    <w:rsid w:val="003B1ECB"/>
    <w:rPr>
      <w:rFonts w:ascii="Times New Roman" w:eastAsia="Times New Roman" w:hAnsi="Times New Roman" w:cs="Times New Roman"/>
      <w:sz w:val="24"/>
      <w:szCs w:val="24"/>
      <w:lang w:eastAsia="lt-LT"/>
    </w:rPr>
  </w:style>
  <w:style w:type="table" w:styleId="TableGrid">
    <w:name w:val="Table Grid"/>
    <w:basedOn w:val="TableNormal"/>
    <w:uiPriority w:val="59"/>
    <w:rsid w:val="003B1ECB"/>
    <w:pPr>
      <w:spacing w:after="0" w:line="240" w:lineRule="auto"/>
    </w:pPr>
    <w:rPr>
      <w:rFonts w:ascii="Calibri" w:eastAsia="Calibri" w:hAnsi="Calibri"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631B"/>
    <w:rPr>
      <w:sz w:val="20"/>
      <w:lang w:eastAsia="en-US"/>
    </w:rPr>
  </w:style>
  <w:style w:type="character" w:customStyle="1" w:styleId="FootnoteTextChar">
    <w:name w:val="Footnote Text Char"/>
    <w:basedOn w:val="DefaultParagraphFont"/>
    <w:link w:val="FootnoteText"/>
    <w:uiPriority w:val="99"/>
    <w:semiHidden/>
    <w:rsid w:val="00A963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631B"/>
    <w:rPr>
      <w:vertAlign w:val="superscript"/>
    </w:rPr>
  </w:style>
  <w:style w:type="character" w:styleId="CommentReference">
    <w:name w:val="annotation reference"/>
    <w:basedOn w:val="DefaultParagraphFont"/>
    <w:uiPriority w:val="99"/>
    <w:semiHidden/>
    <w:unhideWhenUsed/>
    <w:rsid w:val="008B4244"/>
    <w:rPr>
      <w:sz w:val="16"/>
      <w:szCs w:val="16"/>
    </w:rPr>
  </w:style>
  <w:style w:type="paragraph" w:styleId="CommentText">
    <w:name w:val="annotation text"/>
    <w:basedOn w:val="Normal"/>
    <w:link w:val="CommentTextChar"/>
    <w:uiPriority w:val="99"/>
    <w:semiHidden/>
    <w:unhideWhenUsed/>
    <w:rsid w:val="008B4244"/>
    <w:rPr>
      <w:sz w:val="20"/>
    </w:rPr>
  </w:style>
  <w:style w:type="character" w:customStyle="1" w:styleId="CommentTextChar">
    <w:name w:val="Comment Text Char"/>
    <w:basedOn w:val="DefaultParagraphFont"/>
    <w:link w:val="CommentText"/>
    <w:uiPriority w:val="99"/>
    <w:semiHidden/>
    <w:rsid w:val="008B4244"/>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652E19"/>
    <w:rPr>
      <w:b/>
      <w:bCs/>
    </w:rPr>
  </w:style>
  <w:style w:type="character" w:customStyle="1" w:styleId="CommentSubjectChar">
    <w:name w:val="Comment Subject Char"/>
    <w:basedOn w:val="CommentTextChar"/>
    <w:link w:val="CommentSubject"/>
    <w:uiPriority w:val="99"/>
    <w:semiHidden/>
    <w:rsid w:val="00652E19"/>
    <w:rPr>
      <w:rFonts w:ascii="Times New Roman" w:eastAsia="Times New Roman" w:hAnsi="Times New Roman" w:cs="Times New Roman"/>
      <w:b/>
      <w:bCs/>
      <w:sz w:val="20"/>
      <w:szCs w:val="20"/>
      <w:lang w:eastAsia="lt-LT"/>
    </w:rPr>
  </w:style>
  <w:style w:type="paragraph" w:customStyle="1" w:styleId="EntRefer">
    <w:name w:val="EntRefer"/>
    <w:basedOn w:val="Normal"/>
    <w:rsid w:val="00237575"/>
    <w:rPr>
      <w:b/>
      <w:lang w:val="en-GB" w:eastAsia="fr-BE"/>
    </w:rPr>
  </w:style>
  <w:style w:type="paragraph" w:styleId="NormalWeb">
    <w:name w:val="Normal (Web)"/>
    <w:basedOn w:val="Normal"/>
    <w:uiPriority w:val="99"/>
    <w:unhideWhenUsed/>
    <w:rsid w:val="0023757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24576">
      <w:bodyDiv w:val="1"/>
      <w:marLeft w:val="0"/>
      <w:marRight w:val="0"/>
      <w:marTop w:val="0"/>
      <w:marBottom w:val="0"/>
      <w:divBdr>
        <w:top w:val="none" w:sz="0" w:space="0" w:color="auto"/>
        <w:left w:val="none" w:sz="0" w:space="0" w:color="auto"/>
        <w:bottom w:val="none" w:sz="0" w:space="0" w:color="auto"/>
        <w:right w:val="none" w:sz="0" w:space="0" w:color="auto"/>
      </w:divBdr>
      <w:divsChild>
        <w:div w:id="1774280096">
          <w:marLeft w:val="0"/>
          <w:marRight w:val="0"/>
          <w:marTop w:val="0"/>
          <w:marBottom w:val="0"/>
          <w:divBdr>
            <w:top w:val="none" w:sz="0" w:space="0" w:color="auto"/>
            <w:left w:val="none" w:sz="0" w:space="0" w:color="auto"/>
            <w:bottom w:val="none" w:sz="0" w:space="0" w:color="auto"/>
            <w:right w:val="none" w:sz="0" w:space="0" w:color="auto"/>
          </w:divBdr>
        </w:div>
      </w:divsChild>
    </w:div>
    <w:div w:id="1794246989">
      <w:bodyDiv w:val="1"/>
      <w:marLeft w:val="0"/>
      <w:marRight w:val="0"/>
      <w:marTop w:val="0"/>
      <w:marBottom w:val="0"/>
      <w:divBdr>
        <w:top w:val="none" w:sz="0" w:space="0" w:color="auto"/>
        <w:left w:val="none" w:sz="0" w:space="0" w:color="auto"/>
        <w:bottom w:val="none" w:sz="0" w:space="0" w:color="auto"/>
        <w:right w:val="none" w:sz="0" w:space="0" w:color="auto"/>
      </w:divBdr>
    </w:div>
    <w:div w:id="21287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homepag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uta.Pileckiene@finmi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7538</Words>
  <Characters>4297</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Grigaitė</dc:creator>
  <cp:lastModifiedBy>Zita</cp:lastModifiedBy>
  <cp:revision>2</cp:revision>
  <cp:lastPrinted>2020-01-08T08:14:00Z</cp:lastPrinted>
  <dcterms:created xsi:type="dcterms:W3CDTF">2023-01-03T11:25:00Z</dcterms:created>
  <dcterms:modified xsi:type="dcterms:W3CDTF">2023-01-03T11:25:00Z</dcterms:modified>
</cp:coreProperties>
</file>